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0B02C" w14:textId="37605F8E" w:rsidR="001F7F94" w:rsidRPr="00444E68" w:rsidRDefault="001F7F94" w:rsidP="001F7F94">
      <w:pPr>
        <w:tabs>
          <w:tab w:val="left" w:pos="1701"/>
          <w:tab w:val="right" w:pos="9639"/>
        </w:tabs>
        <w:spacing w:after="60"/>
        <w:rPr>
          <w:rFonts w:ascii="Arial" w:hAnsi="Arial" w:cs="Arial"/>
          <w:b/>
        </w:rPr>
      </w:pPr>
      <w:bookmarkStart w:id="0" w:name="_Hlk126002760"/>
      <w:bookmarkStart w:id="1" w:name="_Hlk176260972"/>
      <w:bookmarkStart w:id="2" w:name="_Hlk164681807"/>
      <w:bookmarkStart w:id="3" w:name="_Hlk181965583"/>
      <w:bookmarkEnd w:id="0"/>
      <w:r w:rsidRPr="00444E68">
        <w:rPr>
          <w:rFonts w:ascii="Arial" w:hAnsi="Arial" w:cs="Arial"/>
          <w:b/>
        </w:rPr>
        <w:t>3GPP TSG-RAN WG1 Meeting #12</w:t>
      </w:r>
      <w:r w:rsidR="00F45C4D">
        <w:rPr>
          <w:rFonts w:ascii="Arial" w:hAnsi="Arial" w:cs="Arial"/>
          <w:b/>
        </w:rPr>
        <w:t>2</w:t>
      </w:r>
      <w:r w:rsidRPr="00444E68">
        <w:rPr>
          <w:rFonts w:ascii="Arial" w:hAnsi="Arial" w:cs="Arial"/>
          <w:b/>
        </w:rPr>
        <w:tab/>
      </w:r>
      <w:r w:rsidR="00637D65" w:rsidRPr="00637D65">
        <w:rPr>
          <w:rFonts w:ascii="Arial" w:hAnsi="Arial" w:cs="Arial"/>
          <w:b/>
        </w:rPr>
        <w:t>R1-2505919</w:t>
      </w:r>
    </w:p>
    <w:bookmarkEnd w:id="1"/>
    <w:bookmarkEnd w:id="2"/>
    <w:p w14:paraId="15366CD5" w14:textId="5E28BAE2" w:rsidR="001F7F94" w:rsidRPr="00444E68" w:rsidRDefault="00F45C4D" w:rsidP="001F7F94">
      <w:pPr>
        <w:pStyle w:val="3GPPHeader"/>
        <w:rPr>
          <w:rFonts w:eastAsia="Yu Mincho" w:cs="Arial"/>
          <w:szCs w:val="24"/>
        </w:rPr>
      </w:pPr>
      <w:r>
        <w:rPr>
          <w:rFonts w:eastAsia="Yu Mincho" w:cs="Arial"/>
          <w:szCs w:val="24"/>
        </w:rPr>
        <w:t>Bengaluru, India</w:t>
      </w:r>
      <w:r w:rsidR="001F7F94" w:rsidRPr="00444E68">
        <w:rPr>
          <w:rFonts w:eastAsia="Yu Mincho" w:cs="Arial"/>
          <w:szCs w:val="24"/>
        </w:rPr>
        <w:t xml:space="preserve">, </w:t>
      </w:r>
      <w:r>
        <w:rPr>
          <w:rFonts w:eastAsia="Yu Mincho" w:cs="Arial"/>
          <w:szCs w:val="24"/>
        </w:rPr>
        <w:t>August</w:t>
      </w:r>
      <w:r w:rsidR="001F7F94" w:rsidRPr="00444E68">
        <w:rPr>
          <w:rFonts w:eastAsia="Yu Mincho" w:cs="Arial"/>
          <w:szCs w:val="24"/>
        </w:rPr>
        <w:t xml:space="preserve"> </w:t>
      </w:r>
      <w:r>
        <w:rPr>
          <w:rFonts w:eastAsia="Yu Mincho" w:cs="Arial"/>
          <w:szCs w:val="24"/>
        </w:rPr>
        <w:t>25</w:t>
      </w:r>
      <w:r w:rsidR="001F7F94" w:rsidRPr="00444E68">
        <w:rPr>
          <w:rFonts w:eastAsia="Yu Mincho" w:cs="Arial"/>
          <w:szCs w:val="24"/>
          <w:vertAlign w:val="superscript"/>
        </w:rPr>
        <w:t>th</w:t>
      </w:r>
      <w:r w:rsidR="001F7F94" w:rsidRPr="00444E68">
        <w:rPr>
          <w:rFonts w:eastAsia="Yu Mincho" w:cs="Arial"/>
          <w:szCs w:val="24"/>
        </w:rPr>
        <w:t xml:space="preserve"> – </w:t>
      </w:r>
      <w:r>
        <w:rPr>
          <w:rFonts w:eastAsia="Yu Mincho" w:cs="Arial"/>
          <w:szCs w:val="24"/>
        </w:rPr>
        <w:t>August</w:t>
      </w:r>
      <w:r w:rsidR="001F7F94" w:rsidRPr="00444E68">
        <w:rPr>
          <w:rFonts w:eastAsia="Yu Mincho" w:cs="Arial"/>
          <w:szCs w:val="24"/>
        </w:rPr>
        <w:t xml:space="preserve"> </w:t>
      </w:r>
      <w:r w:rsidR="001A0B1F">
        <w:rPr>
          <w:rFonts w:eastAsia="Yu Mincho" w:cs="Arial"/>
          <w:szCs w:val="24"/>
        </w:rPr>
        <w:t>2</w:t>
      </w:r>
      <w:r>
        <w:rPr>
          <w:rFonts w:eastAsia="Yu Mincho" w:cs="Arial"/>
          <w:szCs w:val="24"/>
        </w:rPr>
        <w:t>9</w:t>
      </w:r>
      <w:r w:rsidR="001A0B1F">
        <w:rPr>
          <w:rFonts w:eastAsia="Yu Mincho" w:cs="Arial"/>
          <w:szCs w:val="24"/>
          <w:vertAlign w:val="superscript"/>
        </w:rPr>
        <w:t>rd</w:t>
      </w:r>
      <w:r w:rsidR="001F7F94" w:rsidRPr="00444E68">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5C0E4F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00F45C4D" w:rsidRPr="00F45C4D">
        <w:rPr>
          <w:rFonts w:ascii="Arial" w:eastAsia="SimSun" w:hAnsi="Arial" w:cs="Arial"/>
          <w:b/>
          <w:sz w:val="22"/>
          <w:szCs w:val="22"/>
          <w:lang w:eastAsia="zh-CN"/>
        </w:rPr>
        <w:t>11</w:t>
      </w:r>
      <w:r w:rsidRPr="00CC6CD2">
        <w:rPr>
          <w:rFonts w:ascii="Arial" w:eastAsia="SimSun" w:hAnsi="Arial" w:cs="Arial"/>
          <w:b/>
          <w:sz w:val="22"/>
          <w:szCs w:val="22"/>
          <w:lang w:eastAsia="zh-CN"/>
        </w:rPr>
        <w:t>.</w:t>
      </w:r>
      <w:r w:rsidR="00F45C4D">
        <w:rPr>
          <w:rFonts w:ascii="Arial" w:eastAsia="SimSun" w:hAnsi="Arial" w:cs="Arial"/>
          <w:b/>
          <w:sz w:val="22"/>
          <w:szCs w:val="22"/>
          <w:lang w:eastAsia="zh-CN"/>
        </w:rPr>
        <w:t>3</w:t>
      </w:r>
      <w:r w:rsidRPr="00CC6CD2">
        <w:rPr>
          <w:rFonts w:ascii="Arial" w:eastAsia="SimSun" w:hAnsi="Arial" w:cs="Arial"/>
          <w:b/>
          <w:sz w:val="22"/>
          <w:szCs w:val="22"/>
          <w:lang w:eastAsia="zh-CN"/>
        </w:rPr>
        <w:t>.</w:t>
      </w:r>
      <w:r w:rsidR="00F45C4D">
        <w:rPr>
          <w:rFonts w:ascii="Arial" w:eastAsia="SimSun" w:hAnsi="Arial" w:cs="Arial"/>
          <w:b/>
          <w:sz w:val="22"/>
          <w:szCs w:val="22"/>
          <w:lang w:eastAsia="zh-CN"/>
        </w:rPr>
        <w:t>2</w:t>
      </w:r>
    </w:p>
    <w:p w14:paraId="789656C5" w14:textId="15BEE03F"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00F45C4D" w:rsidRPr="00F45C4D">
        <w:rPr>
          <w:rFonts w:ascii="Arial" w:eastAsia="SimSun" w:hAnsi="Arial" w:cs="Arial"/>
          <w:b/>
          <w:sz w:val="22"/>
          <w:szCs w:val="22"/>
          <w:lang w:eastAsia="zh-CN"/>
        </w:rPr>
        <w:t>BOOST Mobile Network</w:t>
      </w:r>
    </w:p>
    <w:p w14:paraId="3A8BC438" w14:textId="083E2EC9"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4" w:name="_Hlk158642701"/>
      <w:r w:rsidR="00DF1FA4" w:rsidRPr="00DF1FA4">
        <w:rPr>
          <w:rFonts w:ascii="Arial" w:eastAsia="SimSun" w:hAnsi="Arial" w:cs="Arial"/>
          <w:b/>
          <w:sz w:val="22"/>
          <w:szCs w:val="22"/>
          <w:lang w:eastAsia="zh-CN"/>
        </w:rPr>
        <w:t>Design Strategies for Enabling Seamless and Energy Efficient MRSS</w:t>
      </w:r>
    </w:p>
    <w:bookmarkEnd w:id="4"/>
    <w:p w14:paraId="1EF36D8A" w14:textId="56AD90F3"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6D08F689" w14:textId="77777777" w:rsidR="00F51AA6" w:rsidRDefault="00CB2D28" w:rsidP="00DF1FA4">
      <w:pPr>
        <w:spacing w:before="100" w:beforeAutospacing="1" w:after="100" w:afterAutospacing="1" w:line="240" w:lineRule="auto"/>
        <w:jc w:val="both"/>
        <w:rPr>
          <w:rFonts w:ascii="Arial" w:eastAsia="SimSun" w:hAnsi="Arial" w:cs="Arial"/>
          <w:sz w:val="20"/>
          <w:szCs w:val="22"/>
          <w:lang w:eastAsia="zh-CN"/>
        </w:rPr>
      </w:pPr>
      <w:r w:rsidRPr="00CB2D28">
        <w:rPr>
          <w:rFonts w:ascii="Arial" w:eastAsia="SimSun" w:hAnsi="Arial" w:cs="Arial"/>
          <w:sz w:val="20"/>
          <w:szCs w:val="22"/>
          <w:lang w:eastAsia="zh-CN"/>
        </w:rPr>
        <w:t>The design of 5G–6G Multi-RAT Spectrum Sharing (MRSS) is expected to play a pivotal role in ensuring a smooth, efficient, and sustainable evolution from 5G to 6G</w:t>
      </w:r>
      <w:r>
        <w:rPr>
          <w:rFonts w:ascii="Arial" w:eastAsia="SimSun" w:hAnsi="Arial" w:cs="Arial"/>
          <w:sz w:val="20"/>
          <w:szCs w:val="22"/>
          <w:lang w:eastAsia="zh-CN"/>
        </w:rPr>
        <w:t xml:space="preserve">, </w:t>
      </w:r>
      <w:r w:rsidRPr="00CB2D28">
        <w:rPr>
          <w:rFonts w:ascii="Arial" w:eastAsia="SimSun" w:hAnsi="Arial" w:cs="Arial"/>
          <w:sz w:val="20"/>
          <w:szCs w:val="22"/>
          <w:lang w:eastAsia="zh-CN"/>
        </w:rPr>
        <w:t>an evolution that demands not only transformative capabilities but also careful continuity and deliberate attention to energy and spectral efficiency. As 6G aims to support a wide range of advanced services</w:t>
      </w:r>
      <w:r>
        <w:rPr>
          <w:rFonts w:ascii="Arial" w:eastAsia="SimSun" w:hAnsi="Arial" w:cs="Arial"/>
          <w:sz w:val="20"/>
          <w:szCs w:val="22"/>
          <w:lang w:eastAsia="zh-CN"/>
        </w:rPr>
        <w:t xml:space="preserve">, </w:t>
      </w:r>
      <w:r w:rsidRPr="00CB2D28">
        <w:rPr>
          <w:rFonts w:ascii="Arial" w:eastAsia="SimSun" w:hAnsi="Arial" w:cs="Arial"/>
          <w:sz w:val="20"/>
          <w:szCs w:val="22"/>
          <w:lang w:eastAsia="zh-CN"/>
        </w:rPr>
        <w:t>such as ultra-reliable low-latency communications, extreme data rates, massive connectivity, and the native integration of sensing and intelligence</w:t>
      </w:r>
      <w:r>
        <w:rPr>
          <w:rFonts w:ascii="Arial" w:eastAsia="SimSun" w:hAnsi="Arial" w:cs="Arial"/>
          <w:sz w:val="20"/>
          <w:szCs w:val="22"/>
          <w:lang w:eastAsia="zh-CN"/>
        </w:rPr>
        <w:t xml:space="preserve">, </w:t>
      </w:r>
      <w:r w:rsidRPr="00CB2D28">
        <w:rPr>
          <w:rFonts w:ascii="Arial" w:eastAsia="SimSun" w:hAnsi="Arial" w:cs="Arial"/>
          <w:sz w:val="20"/>
          <w:szCs w:val="22"/>
          <w:lang w:eastAsia="zh-CN"/>
        </w:rPr>
        <w:t xml:space="preserve">the underlying numerologies, frame structures, signals, and channels must be designed to enable seamless coexistence with, and graceful migration from, existing 5G networks. MRSS is envisioned as the cornerstone of this transition, minimizing service disruption while maximizing spectrum utilization, backward compatibility, and hardware reusability. Moreover, in light of growing global sustainability imperatives, energy efficiency must be a foundational design criterion across both the 6G physical layer and the MRSS framework. </w:t>
      </w:r>
    </w:p>
    <w:p w14:paraId="0129DA55" w14:textId="53CCA5FE" w:rsidR="00CB2D28" w:rsidRPr="00CB2D28" w:rsidRDefault="00CB2D28" w:rsidP="00DF1FA4">
      <w:pPr>
        <w:spacing w:before="100" w:beforeAutospacing="1" w:after="100" w:afterAutospacing="1" w:line="240" w:lineRule="auto"/>
        <w:jc w:val="both"/>
        <w:rPr>
          <w:rFonts w:ascii="Arial" w:eastAsia="SimSun" w:hAnsi="Arial" w:cs="Arial"/>
          <w:sz w:val="20"/>
          <w:szCs w:val="22"/>
          <w:lang w:eastAsia="zh-CN"/>
        </w:rPr>
      </w:pPr>
      <w:r w:rsidRPr="00CB2D28">
        <w:rPr>
          <w:rFonts w:ascii="Arial" w:eastAsia="SimSun" w:hAnsi="Arial" w:cs="Arial"/>
          <w:sz w:val="20"/>
          <w:szCs w:val="22"/>
          <w:lang w:eastAsia="zh-CN"/>
        </w:rPr>
        <w:t xml:space="preserve">This contribution presents a set of core design principles for 6G numerologies, frame structures, and waveforms that maintain 5G compatibility while addressing 6G’s ambitious goals for performance, flexibility, and energy optimization. The proposed MRSS and physical-layer designs </w:t>
      </w:r>
      <w:r w:rsidR="00F51AA6">
        <w:rPr>
          <w:rFonts w:ascii="Arial" w:eastAsia="SimSun" w:hAnsi="Arial" w:cs="Arial"/>
          <w:sz w:val="20"/>
          <w:szCs w:val="22"/>
          <w:lang w:eastAsia="zh-CN"/>
        </w:rPr>
        <w:t xml:space="preserve">should </w:t>
      </w:r>
      <w:r w:rsidRPr="00CB2D28">
        <w:rPr>
          <w:rFonts w:ascii="Arial" w:eastAsia="SimSun" w:hAnsi="Arial" w:cs="Arial"/>
          <w:sz w:val="20"/>
          <w:szCs w:val="22"/>
          <w:lang w:eastAsia="zh-CN"/>
        </w:rPr>
        <w:t>aim to enable concurrent operation across multiple generations, support dynamic and adaptive spectrum usage in</w:t>
      </w:r>
      <w:r w:rsidR="00F51AA6">
        <w:rPr>
          <w:rFonts w:ascii="Arial" w:eastAsia="SimSun" w:hAnsi="Arial" w:cs="Arial"/>
          <w:sz w:val="20"/>
          <w:szCs w:val="22"/>
          <w:lang w:eastAsia="zh-CN"/>
        </w:rPr>
        <w:t xml:space="preserve"> mixed 5G–6G environments, and </w:t>
      </w:r>
      <w:r w:rsidRPr="00CB2D28">
        <w:rPr>
          <w:rFonts w:ascii="Arial" w:eastAsia="SimSun" w:hAnsi="Arial" w:cs="Arial"/>
          <w:sz w:val="20"/>
          <w:szCs w:val="22"/>
          <w:lang w:eastAsia="zh-CN"/>
        </w:rPr>
        <w:t xml:space="preserve">reduce the energy </w:t>
      </w:r>
      <w:r w:rsidR="00F51AA6">
        <w:rPr>
          <w:rFonts w:ascii="Arial" w:eastAsia="SimSun" w:hAnsi="Arial" w:cs="Arial"/>
          <w:sz w:val="20"/>
          <w:szCs w:val="22"/>
          <w:lang w:eastAsia="zh-CN"/>
        </w:rPr>
        <w:t>consumption of MRSS framework</w:t>
      </w:r>
      <w:r w:rsidRPr="00CB2D28">
        <w:rPr>
          <w:rFonts w:ascii="Arial" w:eastAsia="SimSun" w:hAnsi="Arial" w:cs="Arial"/>
          <w:sz w:val="20"/>
          <w:szCs w:val="22"/>
          <w:lang w:eastAsia="zh-CN"/>
        </w:rPr>
        <w:t>.</w:t>
      </w:r>
    </w:p>
    <w:p w14:paraId="111EB02C" w14:textId="11D986BD" w:rsidR="004F42BA" w:rsidRDefault="004F42BA" w:rsidP="004F42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00F51AA6">
        <w:rPr>
          <w:rFonts w:ascii="Arial" w:eastAsia="SimSun" w:hAnsi="Arial" w:cs="Times New Roman"/>
          <w:sz w:val="36"/>
          <w:szCs w:val="20"/>
        </w:rPr>
        <w:t xml:space="preserve">Multi-RAT Spectrum Sharing (MRSS) </w:t>
      </w:r>
      <w:r w:rsidR="00F31453">
        <w:rPr>
          <w:rFonts w:ascii="Arial" w:eastAsia="SimSun" w:hAnsi="Arial" w:cs="Times New Roman"/>
          <w:sz w:val="36"/>
          <w:szCs w:val="20"/>
        </w:rPr>
        <w:t>for 5G-6G Coexistence and Graceful Migration</w:t>
      </w:r>
    </w:p>
    <w:p w14:paraId="1CF3036B" w14:textId="77777777" w:rsidR="00365561" w:rsidRPr="00365561" w:rsidRDefault="00365561" w:rsidP="00DF1FA4">
      <w:pPr>
        <w:spacing w:before="100" w:beforeAutospacing="1" w:after="100" w:afterAutospacing="1" w:line="240" w:lineRule="auto"/>
        <w:jc w:val="both"/>
        <w:rPr>
          <w:rFonts w:ascii="Arial" w:eastAsia="SimSun" w:hAnsi="Arial" w:cs="Arial"/>
          <w:sz w:val="20"/>
          <w:szCs w:val="22"/>
          <w:lang w:eastAsia="zh-CN"/>
        </w:rPr>
      </w:pPr>
      <w:r w:rsidRPr="00365561">
        <w:rPr>
          <w:rFonts w:ascii="Arial" w:eastAsia="SimSun" w:hAnsi="Arial" w:cs="Arial"/>
          <w:sz w:val="20"/>
          <w:szCs w:val="22"/>
          <w:lang w:eastAsia="zh-CN"/>
        </w:rPr>
        <w:t>The transition from 5G to 6G introduces both opportunities for innovation and challenges in spectrum efficiency and legacy support. Multi-RAT Spectrum Sharing (MRSS) is a pivotal enabler, allowing 5G and 6G systems to dynamically share the same spectral resources without requiring rigid re-farming or network isolation. By supporting concurrent operations, MRSS maximizes spectral efficiency while minimizing interference and transition complexity.</w:t>
      </w:r>
    </w:p>
    <w:p w14:paraId="31D6E51B" w14:textId="0CFB0C06" w:rsidR="00365561" w:rsidRPr="00365561" w:rsidRDefault="00365561" w:rsidP="00DF1FA4">
      <w:pPr>
        <w:spacing w:before="100" w:beforeAutospacing="1" w:after="100" w:afterAutospacing="1" w:line="240" w:lineRule="auto"/>
        <w:jc w:val="both"/>
        <w:rPr>
          <w:rFonts w:ascii="Arial" w:eastAsia="SimSun" w:hAnsi="Arial" w:cs="Arial"/>
          <w:sz w:val="20"/>
          <w:szCs w:val="22"/>
          <w:lang w:eastAsia="zh-CN"/>
        </w:rPr>
      </w:pPr>
      <w:r w:rsidRPr="00365561">
        <w:rPr>
          <w:rFonts w:ascii="Arial" w:eastAsia="SimSun" w:hAnsi="Arial" w:cs="Arial"/>
          <w:sz w:val="20"/>
          <w:szCs w:val="22"/>
          <w:lang w:eastAsia="zh-CN"/>
        </w:rPr>
        <w:t>MRSS leverages intelligent coordination to dynamically allocate spectrum based on real-time traffic, service demands, and radio conditions. This enables fine-grained partitioning</w:t>
      </w:r>
      <w:r>
        <w:rPr>
          <w:rFonts w:ascii="Arial" w:eastAsia="SimSun" w:hAnsi="Arial" w:cs="Arial"/>
          <w:sz w:val="20"/>
          <w:szCs w:val="22"/>
          <w:lang w:eastAsia="zh-CN"/>
        </w:rPr>
        <w:t xml:space="preserve">, </w:t>
      </w:r>
      <w:r w:rsidRPr="00365561">
        <w:rPr>
          <w:rFonts w:ascii="Arial" w:eastAsia="SimSun" w:hAnsi="Arial" w:cs="Arial"/>
          <w:sz w:val="20"/>
          <w:szCs w:val="22"/>
          <w:lang w:eastAsia="zh-CN"/>
        </w:rPr>
        <w:t>across sub-bands, time slots, or waveform components</w:t>
      </w:r>
      <w:r>
        <w:rPr>
          <w:rFonts w:ascii="Arial" w:eastAsia="SimSun" w:hAnsi="Arial" w:cs="Arial"/>
          <w:sz w:val="20"/>
          <w:szCs w:val="22"/>
          <w:lang w:eastAsia="zh-CN"/>
        </w:rPr>
        <w:t xml:space="preserve">, </w:t>
      </w:r>
      <w:r w:rsidRPr="00365561">
        <w:rPr>
          <w:rFonts w:ascii="Arial" w:eastAsia="SimSun" w:hAnsi="Arial" w:cs="Arial"/>
          <w:sz w:val="20"/>
          <w:szCs w:val="22"/>
          <w:lang w:eastAsia="zh-CN"/>
        </w:rPr>
        <w:t>ensuring elastic and efficient resource utilization. It allows operators to introduce 6G services alongside 5G without service disruption, facilitating a smooth and scalable migration path.</w:t>
      </w:r>
    </w:p>
    <w:p w14:paraId="1C20105B" w14:textId="77777777" w:rsidR="00365561" w:rsidRPr="00365561" w:rsidRDefault="00365561" w:rsidP="00DF1FA4">
      <w:pPr>
        <w:spacing w:before="100" w:beforeAutospacing="1" w:after="100" w:afterAutospacing="1" w:line="240" w:lineRule="auto"/>
        <w:jc w:val="both"/>
        <w:rPr>
          <w:rFonts w:ascii="Arial" w:eastAsia="SimSun" w:hAnsi="Arial" w:cs="Arial"/>
          <w:sz w:val="20"/>
          <w:szCs w:val="22"/>
          <w:lang w:eastAsia="zh-CN"/>
        </w:rPr>
      </w:pPr>
      <w:r w:rsidRPr="00365561">
        <w:rPr>
          <w:rFonts w:ascii="Arial" w:eastAsia="SimSun" w:hAnsi="Arial" w:cs="Arial"/>
          <w:sz w:val="20"/>
          <w:szCs w:val="22"/>
          <w:lang w:eastAsia="zh-CN"/>
        </w:rPr>
        <w:t>Additionally, MRSS supports progressive spectrum farming by enabling adaptive reallocation of underutilized 5G spectrum for emerging 6G needs. Through continuous traffic monitoring and dynamic mapping, MRSS ensures optimal spectrum reuse and future-readiness of the network.</w:t>
      </w:r>
    </w:p>
    <w:p w14:paraId="15203AD8" w14:textId="2A2B291C" w:rsidR="00365561" w:rsidRPr="00365561" w:rsidRDefault="00365561" w:rsidP="00DF1FA4">
      <w:pPr>
        <w:spacing w:before="100" w:beforeAutospacing="1" w:after="100" w:afterAutospacing="1" w:line="240" w:lineRule="auto"/>
        <w:jc w:val="both"/>
        <w:rPr>
          <w:rFonts w:ascii="Arial" w:eastAsia="SimSun" w:hAnsi="Arial" w:cs="Arial"/>
          <w:sz w:val="20"/>
          <w:szCs w:val="22"/>
          <w:lang w:eastAsia="zh-CN"/>
        </w:rPr>
      </w:pPr>
      <w:r w:rsidRPr="00365561">
        <w:rPr>
          <w:rFonts w:ascii="Arial" w:eastAsia="SimSun" w:hAnsi="Arial" w:cs="Arial"/>
          <w:sz w:val="20"/>
          <w:szCs w:val="22"/>
          <w:lang w:eastAsia="zh-CN"/>
        </w:rPr>
        <w:lastRenderedPageBreak/>
        <w:t>In essence, MRSS provides a flexible, backward-compatible, and evolution-friendly framework for harmonized 5G–6G spectrum sharing</w:t>
      </w:r>
      <w:r w:rsidR="00AD6F2B">
        <w:rPr>
          <w:rFonts w:ascii="Arial" w:eastAsia="SimSun" w:hAnsi="Arial" w:cs="Arial"/>
          <w:sz w:val="20"/>
          <w:szCs w:val="22"/>
          <w:lang w:eastAsia="zh-CN"/>
        </w:rPr>
        <w:t xml:space="preserve">, </w:t>
      </w:r>
      <w:r w:rsidRPr="00365561">
        <w:rPr>
          <w:rFonts w:ascii="Arial" w:eastAsia="SimSun" w:hAnsi="Arial" w:cs="Arial"/>
          <w:sz w:val="20"/>
          <w:szCs w:val="22"/>
          <w:lang w:eastAsia="zh-CN"/>
        </w:rPr>
        <w:t xml:space="preserve">crucial for seamless coexistence, </w:t>
      </w:r>
      <w:r w:rsidR="00761020">
        <w:rPr>
          <w:rFonts w:ascii="Arial" w:eastAsia="SimSun" w:hAnsi="Arial" w:cs="Arial"/>
          <w:sz w:val="20"/>
          <w:szCs w:val="22"/>
          <w:lang w:eastAsia="zh-CN"/>
        </w:rPr>
        <w:t xml:space="preserve">and graceful </w:t>
      </w:r>
      <w:r w:rsidRPr="00365561">
        <w:rPr>
          <w:rFonts w:ascii="Arial" w:eastAsia="SimSun" w:hAnsi="Arial" w:cs="Arial"/>
          <w:sz w:val="20"/>
          <w:szCs w:val="22"/>
          <w:lang w:eastAsia="zh-CN"/>
        </w:rPr>
        <w:t>migration.</w:t>
      </w:r>
      <w:r w:rsidR="00AD6F2B">
        <w:rPr>
          <w:rFonts w:ascii="Arial" w:eastAsia="SimSun" w:hAnsi="Arial" w:cs="Arial"/>
          <w:sz w:val="20"/>
          <w:szCs w:val="22"/>
          <w:lang w:eastAsia="zh-CN"/>
        </w:rPr>
        <w:t xml:space="preserve"> </w:t>
      </w:r>
    </w:p>
    <w:p w14:paraId="03C0B0F4" w14:textId="2A5726F7" w:rsidR="00A53D86" w:rsidRPr="00A53D86" w:rsidRDefault="00A53D86" w:rsidP="00A53D86">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bookmarkStart w:id="5" w:name="_Hlk191995492"/>
      <w:r w:rsidRPr="00A53D86">
        <w:rPr>
          <w:rFonts w:ascii="Arial" w:eastAsia="SimSun" w:hAnsi="Arial" w:cs="Times New Roman"/>
          <w:sz w:val="36"/>
          <w:szCs w:val="20"/>
        </w:rPr>
        <w:t>3</w:t>
      </w:r>
      <w:r w:rsidRPr="00A53D86">
        <w:rPr>
          <w:rFonts w:ascii="Arial" w:eastAsia="SimSun" w:hAnsi="Arial" w:cs="Times New Roman"/>
          <w:sz w:val="36"/>
          <w:szCs w:val="20"/>
        </w:rPr>
        <w:tab/>
      </w:r>
      <w:r w:rsidR="00B537CC">
        <w:rPr>
          <w:rFonts w:ascii="Arial" w:eastAsia="SimSun" w:hAnsi="Arial" w:cs="Times New Roman"/>
          <w:sz w:val="36"/>
          <w:szCs w:val="20"/>
        </w:rPr>
        <w:t xml:space="preserve">Backward Compatibility of </w:t>
      </w:r>
      <w:r w:rsidR="00391208">
        <w:rPr>
          <w:rFonts w:ascii="Arial" w:eastAsia="SimSun" w:hAnsi="Arial" w:cs="Times New Roman"/>
          <w:sz w:val="36"/>
          <w:szCs w:val="20"/>
        </w:rPr>
        <w:t xml:space="preserve">6G </w:t>
      </w:r>
      <w:r w:rsidR="00B537CC">
        <w:rPr>
          <w:rFonts w:ascii="Arial" w:eastAsia="SimSun" w:hAnsi="Arial" w:cs="Times New Roman"/>
          <w:sz w:val="36"/>
          <w:szCs w:val="20"/>
        </w:rPr>
        <w:t>Frame Structures for MRSS</w:t>
      </w:r>
      <w:r w:rsidR="00391208">
        <w:rPr>
          <w:rFonts w:ascii="Arial" w:eastAsia="SimSun" w:hAnsi="Arial" w:cs="Times New Roman"/>
          <w:sz w:val="36"/>
          <w:szCs w:val="20"/>
        </w:rPr>
        <w:t xml:space="preserve"> </w:t>
      </w:r>
    </w:p>
    <w:p w14:paraId="5483B985" w14:textId="2EEC09EE" w:rsidR="00204B3F" w:rsidRPr="00204B3F" w:rsidRDefault="00204B3F" w:rsidP="00DF1FA4">
      <w:pPr>
        <w:pStyle w:val="NormalWeb"/>
        <w:jc w:val="both"/>
        <w:rPr>
          <w:rFonts w:ascii="Arial" w:eastAsia="Calibri" w:hAnsi="Arial" w:cs="Arial"/>
          <w:sz w:val="20"/>
          <w:szCs w:val="22"/>
          <w:lang w:val="en-GB" w:eastAsia="ja-JP"/>
        </w:rPr>
      </w:pPr>
      <w:r w:rsidRPr="00204B3F">
        <w:rPr>
          <w:rFonts w:ascii="Arial" w:eastAsia="Calibri" w:hAnsi="Arial" w:cs="Arial"/>
          <w:sz w:val="20"/>
          <w:szCs w:val="22"/>
          <w:lang w:val="en-GB" w:eastAsia="ja-JP"/>
        </w:rPr>
        <w:t xml:space="preserve">To enable </w:t>
      </w:r>
      <w:r>
        <w:rPr>
          <w:rFonts w:ascii="Arial" w:eastAsia="Calibri" w:hAnsi="Arial" w:cs="Arial"/>
          <w:bCs/>
          <w:sz w:val="20"/>
          <w:szCs w:val="22"/>
          <w:lang w:val="en-GB" w:eastAsia="ja-JP"/>
        </w:rPr>
        <w:t>MRSS</w:t>
      </w:r>
      <w:r w:rsidRPr="00204B3F">
        <w:rPr>
          <w:rFonts w:ascii="Arial" w:eastAsia="Calibri" w:hAnsi="Arial" w:cs="Arial"/>
          <w:sz w:val="20"/>
          <w:szCs w:val="22"/>
          <w:lang w:val="en-GB" w:eastAsia="ja-JP"/>
        </w:rPr>
        <w:t xml:space="preserve"> between 5G and 6G, backward compatibility in frame, slot, and symbol structures is essential. Such alignment ensures seamless coexistence of 5G and 6G radios over shared spectrum with minimal interference, low coordination overhead, and efficient spectral utilization. Harmonizing time and frequency foundations allows for incremental 6G deployment while maintaining 5G service continuity.</w:t>
      </w:r>
    </w:p>
    <w:p w14:paraId="3C39FD94" w14:textId="77777777" w:rsidR="00391208" w:rsidRPr="00B537CC" w:rsidRDefault="00391208" w:rsidP="00391208">
      <w:pPr>
        <w:pStyle w:val="Heading4"/>
        <w:rPr>
          <w:rFonts w:ascii="Arial" w:eastAsia="Calibri" w:hAnsi="Arial" w:cs="Arial"/>
          <w:b/>
          <w:i w:val="0"/>
          <w:iCs w:val="0"/>
          <w:color w:val="auto"/>
          <w:sz w:val="22"/>
          <w:szCs w:val="22"/>
          <w:lang w:val="en-GB"/>
        </w:rPr>
      </w:pPr>
      <w:r w:rsidRPr="00B537CC">
        <w:rPr>
          <w:rFonts w:ascii="Arial" w:eastAsia="Calibri" w:hAnsi="Arial" w:cs="Arial"/>
          <w:b/>
          <w:i w:val="0"/>
          <w:iCs w:val="0"/>
          <w:color w:val="auto"/>
          <w:sz w:val="22"/>
          <w:szCs w:val="22"/>
          <w:lang w:val="en-GB"/>
        </w:rPr>
        <w:t>Time-Domain Compatibility</w:t>
      </w:r>
    </w:p>
    <w:p w14:paraId="210F7AA8" w14:textId="08C6F443" w:rsidR="00204B3F" w:rsidRPr="00204B3F" w:rsidRDefault="00204B3F" w:rsidP="00DF1FA4">
      <w:pPr>
        <w:pStyle w:val="NormalWeb"/>
        <w:jc w:val="both"/>
        <w:rPr>
          <w:rFonts w:ascii="Arial" w:eastAsia="Calibri" w:hAnsi="Arial" w:cs="Arial"/>
          <w:sz w:val="20"/>
          <w:szCs w:val="22"/>
          <w:lang w:val="en-GB" w:eastAsia="ja-JP"/>
        </w:rPr>
      </w:pPr>
      <w:r w:rsidRPr="00204B3F">
        <w:rPr>
          <w:rFonts w:ascii="Arial" w:eastAsia="Calibri" w:hAnsi="Arial" w:cs="Arial"/>
          <w:sz w:val="20"/>
          <w:szCs w:val="22"/>
          <w:lang w:val="en-GB" w:eastAsia="ja-JP"/>
        </w:rPr>
        <w:t xml:space="preserve">Backward compatibility in the time domain focuses on aligning the </w:t>
      </w:r>
      <w:r w:rsidRPr="00204B3F">
        <w:rPr>
          <w:rFonts w:ascii="Arial" w:eastAsia="Calibri" w:hAnsi="Arial" w:cs="Arial"/>
          <w:bCs/>
          <w:sz w:val="20"/>
          <w:szCs w:val="22"/>
          <w:lang w:val="en-GB" w:eastAsia="ja-JP"/>
        </w:rPr>
        <w:t>frame, slot, and symbol boundaries</w:t>
      </w:r>
      <w:r w:rsidRPr="00204B3F">
        <w:rPr>
          <w:rFonts w:ascii="Arial" w:eastAsia="Calibri" w:hAnsi="Arial" w:cs="Arial"/>
          <w:sz w:val="20"/>
          <w:szCs w:val="22"/>
          <w:lang w:val="en-GB" w:eastAsia="ja-JP"/>
        </w:rPr>
        <w:t xml:space="preserve"> of 6G with those in 5G NR. Maintaining key parameters</w:t>
      </w:r>
      <w:r>
        <w:rPr>
          <w:rFonts w:ascii="Arial" w:eastAsia="Calibri" w:hAnsi="Arial" w:cs="Arial"/>
          <w:sz w:val="20"/>
          <w:szCs w:val="22"/>
          <w:lang w:val="en-GB" w:eastAsia="ja-JP"/>
        </w:rPr>
        <w:t xml:space="preserve">, such as </w:t>
      </w:r>
      <w:r w:rsidRPr="00204B3F">
        <w:rPr>
          <w:rFonts w:ascii="Arial" w:eastAsia="Calibri" w:hAnsi="Arial" w:cs="Arial"/>
          <w:sz w:val="20"/>
          <w:szCs w:val="22"/>
          <w:lang w:val="en-GB" w:eastAsia="ja-JP"/>
        </w:rPr>
        <w:t>frame duration</w:t>
      </w:r>
      <w:r>
        <w:rPr>
          <w:rFonts w:ascii="Arial" w:eastAsia="Calibri" w:hAnsi="Arial" w:cs="Arial"/>
          <w:sz w:val="20"/>
          <w:szCs w:val="22"/>
          <w:lang w:val="en-GB" w:eastAsia="ja-JP"/>
        </w:rPr>
        <w:t xml:space="preserve"> (</w:t>
      </w:r>
      <w:r w:rsidRPr="00204B3F">
        <w:rPr>
          <w:rFonts w:ascii="Arial" w:eastAsia="Calibri" w:hAnsi="Arial" w:cs="Arial"/>
          <w:sz w:val="20"/>
          <w:szCs w:val="22"/>
          <w:lang w:val="en-GB" w:eastAsia="ja-JP"/>
        </w:rPr>
        <w:t>10 ms</w:t>
      </w:r>
      <w:r>
        <w:rPr>
          <w:rFonts w:ascii="Arial" w:eastAsia="Calibri" w:hAnsi="Arial" w:cs="Arial"/>
          <w:sz w:val="20"/>
          <w:szCs w:val="22"/>
          <w:lang w:val="en-GB" w:eastAsia="ja-JP"/>
        </w:rPr>
        <w:t>ec)</w:t>
      </w:r>
      <w:r w:rsidRPr="00204B3F">
        <w:rPr>
          <w:rFonts w:ascii="Arial" w:eastAsia="Calibri" w:hAnsi="Arial" w:cs="Arial"/>
          <w:sz w:val="20"/>
          <w:szCs w:val="22"/>
          <w:lang w:val="en-GB" w:eastAsia="ja-JP"/>
        </w:rPr>
        <w:t>, slot duration</w:t>
      </w:r>
      <w:r>
        <w:rPr>
          <w:rFonts w:ascii="Arial" w:eastAsia="Calibri" w:hAnsi="Arial" w:cs="Arial"/>
          <w:sz w:val="20"/>
          <w:szCs w:val="22"/>
          <w:lang w:val="en-GB" w:eastAsia="ja-JP"/>
        </w:rPr>
        <w:t xml:space="preserve"> (</w:t>
      </w:r>
      <w:r w:rsidRPr="00204B3F">
        <w:rPr>
          <w:rFonts w:ascii="Arial" w:eastAsia="Calibri" w:hAnsi="Arial" w:cs="Arial"/>
          <w:sz w:val="20"/>
          <w:szCs w:val="22"/>
          <w:lang w:val="en-GB" w:eastAsia="ja-JP"/>
        </w:rPr>
        <w:t>1 ms</w:t>
      </w:r>
      <w:r>
        <w:rPr>
          <w:rFonts w:ascii="Arial" w:eastAsia="Calibri" w:hAnsi="Arial" w:cs="Arial"/>
          <w:sz w:val="20"/>
          <w:szCs w:val="22"/>
          <w:lang w:val="en-GB" w:eastAsia="ja-JP"/>
        </w:rPr>
        <w:t>ec), and</w:t>
      </w:r>
      <w:r w:rsidRPr="00204B3F">
        <w:rPr>
          <w:rFonts w:ascii="Arial" w:eastAsia="Calibri" w:hAnsi="Arial" w:cs="Arial"/>
          <w:sz w:val="20"/>
          <w:szCs w:val="22"/>
          <w:lang w:val="en-GB" w:eastAsia="ja-JP"/>
        </w:rPr>
        <w:t xml:space="preserve"> OFDM symbol duration (66.67 μs</w:t>
      </w:r>
      <w:r>
        <w:rPr>
          <w:rFonts w:ascii="Arial" w:eastAsia="Calibri" w:hAnsi="Arial" w:cs="Arial"/>
          <w:sz w:val="20"/>
          <w:szCs w:val="22"/>
          <w:lang w:val="en-GB" w:eastAsia="ja-JP"/>
        </w:rPr>
        <w:t>ec</w:t>
      </w:r>
      <w:r w:rsidRPr="00204B3F">
        <w:rPr>
          <w:rFonts w:ascii="Arial" w:eastAsia="Calibri" w:hAnsi="Arial" w:cs="Arial"/>
          <w:sz w:val="20"/>
          <w:szCs w:val="22"/>
          <w:lang w:val="en-GB" w:eastAsia="ja-JP"/>
        </w:rPr>
        <w:t xml:space="preserve"> for 15 kHz SCS)</w:t>
      </w:r>
      <w:r>
        <w:rPr>
          <w:rFonts w:ascii="Arial" w:eastAsia="Calibri" w:hAnsi="Arial" w:cs="Arial"/>
          <w:sz w:val="20"/>
          <w:szCs w:val="22"/>
          <w:lang w:val="en-GB" w:eastAsia="ja-JP"/>
        </w:rPr>
        <w:t xml:space="preserve">, </w:t>
      </w:r>
      <w:r w:rsidRPr="00204B3F">
        <w:rPr>
          <w:rFonts w:ascii="Arial" w:eastAsia="Calibri" w:hAnsi="Arial" w:cs="Arial"/>
          <w:sz w:val="20"/>
          <w:szCs w:val="22"/>
          <w:lang w:val="en-GB" w:eastAsia="ja-JP"/>
        </w:rPr>
        <w:t>enables synchronous scheduling and resource coordination. This alignment supports h</w:t>
      </w:r>
      <w:r w:rsidR="00064532">
        <w:rPr>
          <w:rFonts w:ascii="Arial" w:eastAsia="Calibri" w:hAnsi="Arial" w:cs="Arial"/>
          <w:sz w:val="20"/>
          <w:szCs w:val="22"/>
          <w:lang w:val="en-GB" w:eastAsia="ja-JP"/>
        </w:rPr>
        <w:t>ybrid operation, where radio access networks (RANs)</w:t>
      </w:r>
      <w:r w:rsidRPr="00204B3F">
        <w:rPr>
          <w:rFonts w:ascii="Arial" w:eastAsia="Calibri" w:hAnsi="Arial" w:cs="Arial"/>
          <w:sz w:val="20"/>
          <w:szCs w:val="22"/>
          <w:lang w:val="en-GB" w:eastAsia="ja-JP"/>
        </w:rPr>
        <w:t xml:space="preserve"> can serve both 5G and 6G users without major architectural changes to legacy 5G timing systems.</w:t>
      </w:r>
    </w:p>
    <w:p w14:paraId="08350518" w14:textId="77777777" w:rsidR="00391208" w:rsidRPr="00B537CC" w:rsidRDefault="00391208" w:rsidP="00391208">
      <w:pPr>
        <w:pStyle w:val="Heading4"/>
        <w:rPr>
          <w:rFonts w:ascii="Arial" w:eastAsia="Calibri" w:hAnsi="Arial" w:cs="Arial"/>
          <w:b/>
          <w:i w:val="0"/>
          <w:iCs w:val="0"/>
          <w:color w:val="auto"/>
          <w:sz w:val="22"/>
          <w:szCs w:val="22"/>
          <w:lang w:val="en-GB"/>
        </w:rPr>
      </w:pPr>
      <w:r w:rsidRPr="00B537CC">
        <w:rPr>
          <w:rFonts w:ascii="Arial" w:eastAsia="Calibri" w:hAnsi="Arial" w:cs="Arial"/>
          <w:b/>
          <w:i w:val="0"/>
          <w:iCs w:val="0"/>
          <w:color w:val="auto"/>
          <w:sz w:val="22"/>
          <w:szCs w:val="22"/>
          <w:lang w:val="en-GB"/>
        </w:rPr>
        <w:t>Frequency-Domain Compatibility</w:t>
      </w:r>
    </w:p>
    <w:p w14:paraId="4F447087" w14:textId="24972372" w:rsidR="00204B3F" w:rsidRPr="00204B3F" w:rsidRDefault="00204B3F" w:rsidP="00DF1FA4">
      <w:pPr>
        <w:pStyle w:val="NormalWeb"/>
        <w:jc w:val="both"/>
        <w:rPr>
          <w:rFonts w:ascii="Arial" w:eastAsia="Calibri" w:hAnsi="Arial" w:cs="Arial"/>
          <w:sz w:val="20"/>
          <w:szCs w:val="22"/>
          <w:lang w:val="en-GB" w:eastAsia="ja-JP"/>
        </w:rPr>
      </w:pPr>
      <w:r w:rsidRPr="00204B3F">
        <w:rPr>
          <w:rFonts w:ascii="Arial" w:eastAsia="Calibri" w:hAnsi="Arial" w:cs="Arial"/>
          <w:sz w:val="20"/>
          <w:szCs w:val="22"/>
          <w:lang w:val="en-GB" w:eastAsia="ja-JP"/>
        </w:rPr>
        <w:t xml:space="preserve">In the frequency domain, 6G should reuse or extend </w:t>
      </w:r>
      <w:r w:rsidRPr="00204B3F">
        <w:rPr>
          <w:rFonts w:ascii="Arial" w:eastAsia="Calibri" w:hAnsi="Arial" w:cs="Arial"/>
          <w:bCs/>
          <w:sz w:val="20"/>
          <w:szCs w:val="22"/>
          <w:lang w:val="en-GB" w:eastAsia="ja-JP"/>
        </w:rPr>
        <w:t>5G NR numerologies</w:t>
      </w:r>
      <w:r w:rsidRPr="00204B3F">
        <w:rPr>
          <w:rFonts w:ascii="Arial" w:eastAsia="Calibri" w:hAnsi="Arial" w:cs="Arial"/>
          <w:sz w:val="20"/>
          <w:szCs w:val="22"/>
          <w:lang w:val="en-GB" w:eastAsia="ja-JP"/>
        </w:rPr>
        <w:t xml:space="preserve"> (e.g., 15, 30, 60 kHz </w:t>
      </w:r>
      <w:r w:rsidR="00987E35">
        <w:rPr>
          <w:rFonts w:ascii="Arial" w:eastAsia="Calibri" w:hAnsi="Arial" w:cs="Arial"/>
          <w:sz w:val="20"/>
          <w:szCs w:val="22"/>
          <w:lang w:val="en-GB" w:eastAsia="ja-JP"/>
        </w:rPr>
        <w:t xml:space="preserve">etc </w:t>
      </w:r>
      <w:r w:rsidR="00064532">
        <w:rPr>
          <w:rFonts w:ascii="Arial" w:eastAsia="Calibri" w:hAnsi="Arial" w:cs="Arial"/>
          <w:sz w:val="20"/>
          <w:szCs w:val="22"/>
          <w:lang w:val="en-GB" w:eastAsia="ja-JP"/>
        </w:rPr>
        <w:t>subcarrier spacing</w:t>
      </w:r>
      <w:r w:rsidRPr="00204B3F">
        <w:rPr>
          <w:rFonts w:ascii="Arial" w:eastAsia="Calibri" w:hAnsi="Arial" w:cs="Arial"/>
          <w:sz w:val="20"/>
          <w:szCs w:val="22"/>
          <w:lang w:val="en-GB" w:eastAsia="ja-JP"/>
        </w:rPr>
        <w:t>) and maintain compatible resource block structures. Such design enables efficient bandwidth partitioning and minimizes the need for guard bands. Frequency continuity reduces spectral leakage and inter-RAT interference, enabling 5G and 6G to operate adjacently or within the same carrier without performance degradation.</w:t>
      </w:r>
    </w:p>
    <w:p w14:paraId="2C747A85" w14:textId="77777777" w:rsidR="00391208" w:rsidRPr="00C6003E" w:rsidRDefault="00391208" w:rsidP="00391208">
      <w:pPr>
        <w:pStyle w:val="Heading4"/>
        <w:rPr>
          <w:rFonts w:ascii="Arial" w:eastAsia="Calibri" w:hAnsi="Arial" w:cs="Arial"/>
          <w:b/>
          <w:i w:val="0"/>
          <w:iCs w:val="0"/>
          <w:color w:val="auto"/>
          <w:sz w:val="22"/>
          <w:szCs w:val="22"/>
          <w:lang w:val="en-GB"/>
        </w:rPr>
      </w:pPr>
      <w:r w:rsidRPr="00C6003E">
        <w:rPr>
          <w:rFonts w:ascii="Arial" w:eastAsia="Calibri" w:hAnsi="Arial" w:cs="Arial"/>
          <w:b/>
          <w:i w:val="0"/>
          <w:iCs w:val="0"/>
          <w:color w:val="auto"/>
          <w:sz w:val="22"/>
          <w:szCs w:val="22"/>
          <w:lang w:val="en-GB"/>
        </w:rPr>
        <w:t>Enabling Flexible Spectrum Coexistence</w:t>
      </w:r>
    </w:p>
    <w:p w14:paraId="4206C2AE" w14:textId="77777777" w:rsidR="00987E35" w:rsidRPr="00987E35" w:rsidRDefault="00987E35" w:rsidP="00DF1FA4">
      <w:pPr>
        <w:pStyle w:val="NormalWeb"/>
        <w:jc w:val="both"/>
        <w:rPr>
          <w:rFonts w:ascii="Arial" w:eastAsia="Calibri" w:hAnsi="Arial" w:cs="Arial"/>
          <w:sz w:val="20"/>
          <w:szCs w:val="22"/>
          <w:lang w:val="en-GB" w:eastAsia="ja-JP"/>
        </w:rPr>
      </w:pPr>
      <w:r w:rsidRPr="00987E35">
        <w:rPr>
          <w:rFonts w:ascii="Arial" w:eastAsia="Calibri" w:hAnsi="Arial" w:cs="Arial"/>
          <w:sz w:val="20"/>
          <w:szCs w:val="22"/>
          <w:lang w:val="en-GB" w:eastAsia="ja-JP"/>
        </w:rPr>
        <w:t xml:space="preserve">A backward-compatible time-frequency grid enables </w:t>
      </w:r>
      <w:r w:rsidRPr="00987E35">
        <w:rPr>
          <w:rFonts w:ascii="Arial" w:eastAsia="Calibri" w:hAnsi="Arial" w:cs="Arial"/>
          <w:bCs/>
          <w:sz w:val="20"/>
          <w:szCs w:val="22"/>
          <w:lang w:val="en-GB" w:eastAsia="ja-JP"/>
        </w:rPr>
        <w:t>joint scheduling, waveform coexistence, and coordinated MAC/PHY management</w:t>
      </w:r>
      <w:r w:rsidRPr="00987E35">
        <w:rPr>
          <w:rFonts w:ascii="Arial" w:eastAsia="Calibri" w:hAnsi="Arial" w:cs="Arial"/>
          <w:sz w:val="20"/>
          <w:szCs w:val="22"/>
          <w:lang w:val="en-GB" w:eastAsia="ja-JP"/>
        </w:rPr>
        <w:t xml:space="preserve"> across 5G and 6G systems. This facilitates 6G deployment within existing 5G bands, accelerating migration while protecting prior investments. It also supports dynamic spectrum sharing, essential for early 6G rollout and efficient spectrum farming.</w:t>
      </w:r>
    </w:p>
    <w:p w14:paraId="08C27E2E" w14:textId="26CE2B05" w:rsidR="003C1291" w:rsidRPr="003C1291" w:rsidRDefault="003C1291" w:rsidP="00DF1FA4">
      <w:pPr>
        <w:pStyle w:val="Proposal"/>
        <w:numPr>
          <w:ilvl w:val="0"/>
          <w:numId w:val="7"/>
        </w:numPr>
        <w:tabs>
          <w:tab w:val="clear" w:pos="1304"/>
          <w:tab w:val="num" w:pos="1701"/>
        </w:tabs>
        <w:ind w:left="1310" w:hanging="1310"/>
      </w:pPr>
      <w:r w:rsidRPr="003C1291">
        <w:rPr>
          <w:i/>
          <w:iCs/>
        </w:rPr>
        <w:t>RAN1 shall study the design of 6G numerologies and the time-frequency structure of frames and slots to support smooth coexistence and efficient spectrum sharing with 5G in a common spectrum band.</w:t>
      </w:r>
    </w:p>
    <w:p w14:paraId="3BED82C8" w14:textId="77777777" w:rsidR="00987E35" w:rsidRDefault="00987E35" w:rsidP="0004134F">
      <w:pPr>
        <w:spacing w:line="259" w:lineRule="auto"/>
        <w:rPr>
          <w:rFonts w:ascii="Arial" w:eastAsia="Calibri" w:hAnsi="Arial" w:cs="Arial"/>
          <w:sz w:val="20"/>
          <w:szCs w:val="22"/>
          <w:lang w:val="en-GB"/>
        </w:rPr>
      </w:pPr>
    </w:p>
    <w:p w14:paraId="1BA50B75" w14:textId="64476CD7" w:rsidR="00C458E7" w:rsidRDefault="00C458E7" w:rsidP="00C458E7">
      <w:pPr>
        <w:pStyle w:val="Heading4"/>
        <w:rPr>
          <w:rFonts w:ascii="Arial" w:eastAsia="Calibri" w:hAnsi="Arial" w:cs="Arial"/>
          <w:b/>
          <w:i w:val="0"/>
          <w:iCs w:val="0"/>
          <w:color w:val="auto"/>
          <w:sz w:val="22"/>
          <w:szCs w:val="22"/>
          <w:lang w:val="en-GB"/>
        </w:rPr>
      </w:pPr>
      <w:r>
        <w:rPr>
          <w:rFonts w:ascii="Arial" w:eastAsia="Calibri" w:hAnsi="Arial" w:cs="Arial"/>
          <w:b/>
          <w:i w:val="0"/>
          <w:iCs w:val="0"/>
          <w:color w:val="auto"/>
          <w:sz w:val="22"/>
          <w:szCs w:val="22"/>
          <w:lang w:val="en-GB"/>
        </w:rPr>
        <w:t>Ensuring Orthogonality between 5G and 6G Waveforms for MRSS</w:t>
      </w:r>
    </w:p>
    <w:p w14:paraId="1581D3BB" w14:textId="6BF12166" w:rsidR="003C1291" w:rsidRPr="003C1291" w:rsidRDefault="003C1291" w:rsidP="00DF1FA4">
      <w:pPr>
        <w:spacing w:before="100" w:beforeAutospacing="1" w:after="100" w:afterAutospacing="1" w:line="240" w:lineRule="auto"/>
        <w:jc w:val="both"/>
        <w:rPr>
          <w:rFonts w:ascii="Arial" w:eastAsia="Calibri" w:hAnsi="Arial" w:cs="Arial"/>
          <w:sz w:val="20"/>
          <w:szCs w:val="22"/>
          <w:lang w:val="en-GB"/>
        </w:rPr>
      </w:pPr>
      <w:r w:rsidRPr="003C1291">
        <w:rPr>
          <w:rFonts w:ascii="Arial" w:eastAsia="Calibri" w:hAnsi="Arial" w:cs="Arial"/>
          <w:sz w:val="20"/>
          <w:szCs w:val="22"/>
          <w:lang w:val="en-GB"/>
        </w:rPr>
        <w:t>To realize effective MRSS, the 6G waveform must preserve orthogonality with the 5G OFDM waveform. Time-frequency orthogonality ensures that 5G and 6G transmissions can coexist within shared spectrum without inter-RAT interference, enabling simultaneous and non-disruptive operation.</w:t>
      </w:r>
      <w:r>
        <w:rPr>
          <w:rFonts w:ascii="Arial" w:eastAsia="Calibri" w:hAnsi="Arial" w:cs="Arial"/>
          <w:sz w:val="20"/>
          <w:szCs w:val="22"/>
          <w:lang w:val="en-GB"/>
        </w:rPr>
        <w:t xml:space="preserve"> </w:t>
      </w:r>
      <w:r w:rsidRPr="003C1291">
        <w:rPr>
          <w:rFonts w:ascii="Arial" w:eastAsia="Calibri" w:hAnsi="Arial" w:cs="Arial"/>
          <w:sz w:val="20"/>
          <w:szCs w:val="22"/>
          <w:lang w:val="en-GB"/>
        </w:rPr>
        <w:t xml:space="preserve">Designing the 6G waveform to maintain compatibility with 5G OFDM supports coherent scheduling, unified baseband processing, and eliminates the need for guard bands. This enhances spectral efficiency, simplifies receiver complexity, and supports a </w:t>
      </w:r>
      <w:r>
        <w:rPr>
          <w:rFonts w:ascii="Arial" w:eastAsia="Calibri" w:hAnsi="Arial" w:cs="Arial"/>
          <w:sz w:val="20"/>
          <w:szCs w:val="22"/>
          <w:lang w:val="en-GB"/>
        </w:rPr>
        <w:t>graceful</w:t>
      </w:r>
      <w:r w:rsidRPr="003C1291">
        <w:rPr>
          <w:rFonts w:ascii="Arial" w:eastAsia="Calibri" w:hAnsi="Arial" w:cs="Arial"/>
          <w:sz w:val="20"/>
          <w:szCs w:val="22"/>
          <w:lang w:val="en-GB"/>
        </w:rPr>
        <w:t xml:space="preserve"> migration path from 5G to 6G.</w:t>
      </w:r>
    </w:p>
    <w:p w14:paraId="7B74F13F" w14:textId="046AC53E" w:rsidR="00204B3F" w:rsidRPr="003C1291" w:rsidRDefault="00204B3F" w:rsidP="00DF1FA4">
      <w:pPr>
        <w:pStyle w:val="Proposal"/>
        <w:numPr>
          <w:ilvl w:val="0"/>
          <w:numId w:val="7"/>
        </w:numPr>
        <w:tabs>
          <w:tab w:val="clear" w:pos="1304"/>
          <w:tab w:val="num" w:pos="1701"/>
        </w:tabs>
        <w:ind w:left="1310" w:hanging="1310"/>
      </w:pPr>
      <w:r w:rsidRPr="003C1291">
        <w:rPr>
          <w:rFonts w:eastAsia="Calibri" w:cs="Arial"/>
          <w:i/>
          <w:iCs/>
        </w:rPr>
        <w:t>RAN1 shall study 6G waveform designs that ensure orthogonality with 5G OFDM waveforms and numerologies to enable efficient MRSS operation.</w:t>
      </w:r>
    </w:p>
    <w:bookmarkEnd w:id="5"/>
    <w:p w14:paraId="4C3423B4" w14:textId="46F131E1" w:rsidR="0066693C" w:rsidRPr="007E3224" w:rsidRDefault="00C77DFE" w:rsidP="0066693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22323C">
        <w:rPr>
          <w:rFonts w:ascii="Arial" w:eastAsia="SimSun" w:hAnsi="Arial" w:cs="Times New Roman"/>
          <w:sz w:val="36"/>
          <w:szCs w:val="20"/>
        </w:rPr>
        <w:lastRenderedPageBreak/>
        <w:t>4</w:t>
      </w:r>
      <w:r w:rsidR="0066693C" w:rsidRPr="007E3224">
        <w:rPr>
          <w:rFonts w:ascii="Arial" w:eastAsia="SimSun" w:hAnsi="Arial" w:cs="Times New Roman"/>
          <w:sz w:val="36"/>
          <w:szCs w:val="20"/>
        </w:rPr>
        <w:tab/>
      </w:r>
      <w:r w:rsidR="005F27D8">
        <w:rPr>
          <w:rFonts w:ascii="Arial" w:eastAsia="SimSun" w:hAnsi="Arial" w:cs="Times New Roman"/>
          <w:sz w:val="36"/>
          <w:szCs w:val="20"/>
        </w:rPr>
        <w:t>Energy-</w:t>
      </w:r>
      <w:r w:rsidR="00E1494C">
        <w:rPr>
          <w:rFonts w:ascii="Arial" w:eastAsia="SimSun" w:hAnsi="Arial" w:cs="Times New Roman"/>
          <w:sz w:val="36"/>
          <w:szCs w:val="20"/>
        </w:rPr>
        <w:t>Efficient</w:t>
      </w:r>
      <w:r w:rsidR="005F27D8">
        <w:rPr>
          <w:rFonts w:ascii="Arial" w:eastAsia="SimSun" w:hAnsi="Arial" w:cs="Times New Roman"/>
          <w:sz w:val="36"/>
          <w:szCs w:val="20"/>
        </w:rPr>
        <w:t xml:space="preserve"> MRSS </w:t>
      </w:r>
    </w:p>
    <w:p w14:paraId="733D6DBA" w14:textId="49DA7E77" w:rsidR="005F27D8" w:rsidRPr="005F27D8" w:rsidRDefault="00335BBD" w:rsidP="00DF1FA4">
      <w:pPr>
        <w:pStyle w:val="NormalWeb"/>
        <w:jc w:val="both"/>
        <w:rPr>
          <w:rFonts w:ascii="Arial" w:eastAsia="Calibri" w:hAnsi="Arial" w:cs="Arial"/>
          <w:sz w:val="20"/>
          <w:szCs w:val="22"/>
        </w:rPr>
      </w:pPr>
      <w:r>
        <w:rPr>
          <w:rFonts w:ascii="Arial" w:eastAsia="Calibri" w:hAnsi="Arial" w:cs="Arial"/>
          <w:sz w:val="20"/>
          <w:szCs w:val="22"/>
        </w:rPr>
        <w:t xml:space="preserve">Sustainability is a key criteria of 6G technology. </w:t>
      </w:r>
      <w:r w:rsidR="005F27D8" w:rsidRPr="005F27D8">
        <w:rPr>
          <w:rFonts w:ascii="Arial" w:eastAsia="Calibri" w:hAnsi="Arial" w:cs="Arial"/>
          <w:sz w:val="20"/>
          <w:szCs w:val="22"/>
        </w:rPr>
        <w:t xml:space="preserve">To support energy-efficient </w:t>
      </w:r>
      <w:r w:rsidR="005F27D8">
        <w:rPr>
          <w:rFonts w:ascii="Arial" w:eastAsia="Calibri" w:hAnsi="Arial" w:cs="Arial"/>
          <w:sz w:val="20"/>
          <w:szCs w:val="22"/>
        </w:rPr>
        <w:t>MRSS</w:t>
      </w:r>
      <w:r w:rsidR="005F27D8" w:rsidRPr="005F27D8">
        <w:rPr>
          <w:rFonts w:ascii="Arial" w:eastAsia="Calibri" w:hAnsi="Arial" w:cs="Arial"/>
          <w:sz w:val="20"/>
          <w:szCs w:val="22"/>
        </w:rPr>
        <w:t xml:space="preserve"> between 5G and 6G systems, the sharing of certain key signals and channels</w:t>
      </w:r>
      <w:r w:rsidR="005F27D8">
        <w:rPr>
          <w:rFonts w:ascii="Arial" w:eastAsia="Calibri" w:hAnsi="Arial" w:cs="Arial"/>
          <w:sz w:val="20"/>
          <w:szCs w:val="22"/>
        </w:rPr>
        <w:t xml:space="preserve">, e.g., </w:t>
      </w:r>
      <w:r w:rsidR="005F27D8" w:rsidRPr="005F27D8">
        <w:rPr>
          <w:rFonts w:ascii="Arial" w:eastAsia="Calibri" w:hAnsi="Arial" w:cs="Arial"/>
          <w:sz w:val="20"/>
          <w:szCs w:val="22"/>
        </w:rPr>
        <w:t>the Synchronization Signal Block (SSB)</w:t>
      </w:r>
      <w:r w:rsidR="005F27D8">
        <w:rPr>
          <w:rFonts w:ascii="Arial" w:eastAsia="Calibri" w:hAnsi="Arial" w:cs="Arial"/>
          <w:sz w:val="20"/>
          <w:szCs w:val="22"/>
        </w:rPr>
        <w:t xml:space="preserve">, </w:t>
      </w:r>
      <w:r w:rsidR="005F27D8" w:rsidRPr="005F27D8">
        <w:rPr>
          <w:rFonts w:ascii="Arial" w:eastAsia="Calibri" w:hAnsi="Arial" w:cs="Arial"/>
          <w:sz w:val="20"/>
          <w:szCs w:val="22"/>
        </w:rPr>
        <w:t xml:space="preserve">offers operational and architectural benefits. By leveraging common signaling resources across both </w:t>
      </w:r>
      <w:r w:rsidR="005F27D8">
        <w:rPr>
          <w:rFonts w:ascii="Arial" w:eastAsia="Calibri" w:hAnsi="Arial" w:cs="Arial"/>
          <w:sz w:val="20"/>
          <w:szCs w:val="22"/>
        </w:rPr>
        <w:t>systems</w:t>
      </w:r>
      <w:r w:rsidR="005F27D8" w:rsidRPr="005F27D8">
        <w:rPr>
          <w:rFonts w:ascii="Arial" w:eastAsia="Calibri" w:hAnsi="Arial" w:cs="Arial"/>
          <w:sz w:val="20"/>
          <w:szCs w:val="22"/>
        </w:rPr>
        <w:t>, network deployments can reduce redundancy, minimize signaling overhead, and optimize power consumption at both the network and device levels.</w:t>
      </w:r>
      <w:r>
        <w:rPr>
          <w:rFonts w:ascii="Arial" w:eastAsia="Calibri" w:hAnsi="Arial" w:cs="Arial"/>
          <w:sz w:val="20"/>
          <w:szCs w:val="22"/>
        </w:rPr>
        <w:t xml:space="preserve"> </w:t>
      </w:r>
    </w:p>
    <w:p w14:paraId="16A7667E" w14:textId="77777777" w:rsidR="005F27D8" w:rsidRPr="005F27D8" w:rsidRDefault="005F27D8" w:rsidP="005F27D8">
      <w:pPr>
        <w:pStyle w:val="Heading4"/>
        <w:rPr>
          <w:rFonts w:ascii="Arial" w:eastAsia="Calibri" w:hAnsi="Arial" w:cs="Arial"/>
          <w:b/>
          <w:i w:val="0"/>
          <w:iCs w:val="0"/>
          <w:color w:val="auto"/>
          <w:sz w:val="22"/>
          <w:szCs w:val="22"/>
          <w:lang w:eastAsia="en-US"/>
        </w:rPr>
      </w:pPr>
      <w:r w:rsidRPr="005F27D8">
        <w:rPr>
          <w:rFonts w:ascii="Arial" w:eastAsia="Calibri" w:hAnsi="Arial" w:cs="Arial"/>
          <w:b/>
          <w:i w:val="0"/>
          <w:iCs w:val="0"/>
          <w:color w:val="auto"/>
          <w:sz w:val="22"/>
          <w:szCs w:val="22"/>
          <w:lang w:eastAsia="en-US"/>
        </w:rPr>
        <w:t>Benefits of Sharing the SSB</w:t>
      </w:r>
    </w:p>
    <w:p w14:paraId="2F13B53C" w14:textId="2F4C3CF8" w:rsidR="005F27D8" w:rsidRPr="005F27D8" w:rsidRDefault="005F27D8" w:rsidP="00DF1FA4">
      <w:pPr>
        <w:pStyle w:val="NormalWeb"/>
        <w:jc w:val="both"/>
        <w:rPr>
          <w:rFonts w:ascii="Arial" w:eastAsia="Calibri" w:hAnsi="Arial" w:cs="Arial"/>
          <w:sz w:val="20"/>
          <w:szCs w:val="22"/>
        </w:rPr>
      </w:pPr>
      <w:r w:rsidRPr="005F27D8">
        <w:rPr>
          <w:rFonts w:ascii="Arial" w:eastAsia="Calibri" w:hAnsi="Arial" w:cs="Arial"/>
          <w:sz w:val="20"/>
          <w:szCs w:val="22"/>
        </w:rPr>
        <w:t xml:space="preserve">The SSB is fundamental to initial access, cell detection, and synchronization in 5G NR. Extending or reusing this structure in 6G, with </w:t>
      </w:r>
      <w:r>
        <w:rPr>
          <w:rFonts w:ascii="Arial" w:eastAsia="Calibri" w:hAnsi="Arial" w:cs="Arial"/>
          <w:sz w:val="20"/>
          <w:szCs w:val="22"/>
        </w:rPr>
        <w:t xml:space="preserve">potential </w:t>
      </w:r>
      <w:r w:rsidRPr="005F27D8">
        <w:rPr>
          <w:rFonts w:ascii="Arial" w:eastAsia="Calibri" w:hAnsi="Arial" w:cs="Arial"/>
          <w:sz w:val="20"/>
          <w:szCs w:val="22"/>
        </w:rPr>
        <w:t xml:space="preserve">appropriate enhancements, can enable </w:t>
      </w:r>
      <w:r>
        <w:rPr>
          <w:rFonts w:ascii="Arial" w:eastAsia="Calibri" w:hAnsi="Arial" w:cs="Arial"/>
          <w:sz w:val="20"/>
          <w:szCs w:val="22"/>
        </w:rPr>
        <w:t>both 5G and 6G</w:t>
      </w:r>
      <w:r w:rsidRPr="005F27D8">
        <w:rPr>
          <w:rFonts w:ascii="Arial" w:eastAsia="Calibri" w:hAnsi="Arial" w:cs="Arial"/>
          <w:sz w:val="20"/>
          <w:szCs w:val="22"/>
        </w:rPr>
        <w:t xml:space="preserve"> devices to perform initial access and synchronization using a unified signal. This reduces the need for repeated signal transmissions from separate 5G and 6G radios and allows devices to remain in low-power states longer by avoiding redundant scanning and decoding processes. From a network perspective, co-located base stations can transmit a single shared SSB burst, lowering transmit power requirements and enabling more efficient use of hardware resources.</w:t>
      </w:r>
    </w:p>
    <w:p w14:paraId="221C80E3" w14:textId="77777777" w:rsidR="005F27D8" w:rsidRPr="005F27D8" w:rsidRDefault="005F27D8" w:rsidP="005F27D8">
      <w:pPr>
        <w:pStyle w:val="Heading4"/>
        <w:rPr>
          <w:rFonts w:ascii="Arial" w:eastAsia="Calibri" w:hAnsi="Arial" w:cs="Arial"/>
          <w:i w:val="0"/>
          <w:iCs w:val="0"/>
          <w:color w:val="auto"/>
          <w:sz w:val="20"/>
          <w:szCs w:val="22"/>
          <w:lang w:eastAsia="en-US"/>
        </w:rPr>
      </w:pPr>
      <w:r w:rsidRPr="005F27D8">
        <w:rPr>
          <w:rFonts w:ascii="Arial" w:eastAsia="Calibri" w:hAnsi="Arial" w:cs="Arial"/>
          <w:b/>
          <w:i w:val="0"/>
          <w:iCs w:val="0"/>
          <w:color w:val="auto"/>
          <w:sz w:val="22"/>
          <w:szCs w:val="22"/>
          <w:lang w:eastAsia="en-US"/>
        </w:rPr>
        <w:t>Channel Sharing for Reduced Overhead</w:t>
      </w:r>
    </w:p>
    <w:p w14:paraId="3A893FE2" w14:textId="2D6E4EFE" w:rsidR="005F27D8" w:rsidRPr="005F27D8" w:rsidRDefault="005F27D8" w:rsidP="00DF1FA4">
      <w:pPr>
        <w:pStyle w:val="NormalWeb"/>
        <w:jc w:val="both"/>
        <w:rPr>
          <w:rFonts w:ascii="Arial" w:eastAsia="Calibri" w:hAnsi="Arial" w:cs="Arial"/>
          <w:sz w:val="20"/>
          <w:szCs w:val="22"/>
        </w:rPr>
      </w:pPr>
      <w:r w:rsidRPr="005F27D8">
        <w:rPr>
          <w:rFonts w:ascii="Arial" w:eastAsia="Calibri" w:hAnsi="Arial" w:cs="Arial"/>
          <w:sz w:val="20"/>
          <w:szCs w:val="22"/>
        </w:rPr>
        <w:t xml:space="preserve">Beyond SSB, the selective sharing of </w:t>
      </w:r>
      <w:r w:rsidR="00E0116B">
        <w:rPr>
          <w:rFonts w:ascii="Arial" w:eastAsia="Calibri" w:hAnsi="Arial" w:cs="Arial"/>
          <w:sz w:val="20"/>
          <w:szCs w:val="22"/>
        </w:rPr>
        <w:t xml:space="preserve">some </w:t>
      </w:r>
      <w:r w:rsidRPr="005F27D8">
        <w:rPr>
          <w:rFonts w:ascii="Arial" w:eastAsia="Calibri" w:hAnsi="Arial" w:cs="Arial"/>
          <w:sz w:val="20"/>
          <w:szCs w:val="22"/>
        </w:rPr>
        <w:t xml:space="preserve">control channels (e.g., </w:t>
      </w:r>
      <w:r w:rsidR="00E0116B">
        <w:rPr>
          <w:rFonts w:ascii="Arial" w:eastAsia="Calibri" w:hAnsi="Arial" w:cs="Arial"/>
          <w:sz w:val="20"/>
          <w:szCs w:val="22"/>
        </w:rPr>
        <w:t xml:space="preserve">SIB1, </w:t>
      </w:r>
      <w:r w:rsidRPr="005F27D8">
        <w:rPr>
          <w:rFonts w:ascii="Arial" w:eastAsia="Calibri" w:hAnsi="Arial" w:cs="Arial"/>
          <w:sz w:val="20"/>
          <w:szCs w:val="22"/>
        </w:rPr>
        <w:t>broadcast channels or paging channels) can further contribute to energy efficiency. For example, broadcast information that is common across RATs</w:t>
      </w:r>
      <w:r w:rsidR="00E0116B">
        <w:rPr>
          <w:rFonts w:ascii="Arial" w:eastAsia="Calibri" w:hAnsi="Arial" w:cs="Arial"/>
          <w:sz w:val="20"/>
          <w:szCs w:val="22"/>
        </w:rPr>
        <w:t xml:space="preserve">, </w:t>
      </w:r>
      <w:r w:rsidRPr="005F27D8">
        <w:rPr>
          <w:rFonts w:ascii="Arial" w:eastAsia="Calibri" w:hAnsi="Arial" w:cs="Arial"/>
          <w:sz w:val="20"/>
          <w:szCs w:val="22"/>
        </w:rPr>
        <w:t>such as network configuration, supported features, or emergency alerting</w:t>
      </w:r>
      <w:r w:rsidR="00E0116B">
        <w:rPr>
          <w:rFonts w:ascii="Arial" w:eastAsia="Calibri" w:hAnsi="Arial" w:cs="Arial"/>
          <w:sz w:val="20"/>
          <w:szCs w:val="22"/>
        </w:rPr>
        <w:t xml:space="preserve">, </w:t>
      </w:r>
      <w:r w:rsidRPr="005F27D8">
        <w:rPr>
          <w:rFonts w:ascii="Arial" w:eastAsia="Calibri" w:hAnsi="Arial" w:cs="Arial"/>
          <w:sz w:val="20"/>
          <w:szCs w:val="22"/>
        </w:rPr>
        <w:t>can be consolidated and transmitted once, avoiding duplication. Additionally, coordination of paging resources across 5G and 6G can help minimize wake-up events and reduce energy usage in idle-mode devices that support both generations.</w:t>
      </w:r>
    </w:p>
    <w:p w14:paraId="3E649C84" w14:textId="77777777" w:rsidR="005F27D8" w:rsidRPr="00BF7F66" w:rsidRDefault="005F27D8" w:rsidP="005F27D8">
      <w:pPr>
        <w:pStyle w:val="Heading4"/>
        <w:rPr>
          <w:rFonts w:ascii="Arial" w:eastAsia="Calibri" w:hAnsi="Arial" w:cs="Arial"/>
          <w:b/>
          <w:i w:val="0"/>
          <w:iCs w:val="0"/>
          <w:color w:val="auto"/>
          <w:sz w:val="22"/>
          <w:szCs w:val="22"/>
          <w:lang w:eastAsia="en-US"/>
        </w:rPr>
      </w:pPr>
      <w:r w:rsidRPr="00BF7F66">
        <w:rPr>
          <w:rFonts w:ascii="Arial" w:eastAsia="Calibri" w:hAnsi="Arial" w:cs="Arial"/>
          <w:b/>
          <w:i w:val="0"/>
          <w:iCs w:val="0"/>
          <w:color w:val="auto"/>
          <w:sz w:val="22"/>
          <w:szCs w:val="22"/>
          <w:lang w:eastAsia="en-US"/>
        </w:rPr>
        <w:t>MRSS-Aware Signal Design</w:t>
      </w:r>
    </w:p>
    <w:p w14:paraId="34D53E82" w14:textId="77777777" w:rsidR="005F27D8" w:rsidRPr="005F27D8" w:rsidRDefault="005F27D8" w:rsidP="00DF1FA4">
      <w:pPr>
        <w:pStyle w:val="NormalWeb"/>
        <w:jc w:val="both"/>
        <w:rPr>
          <w:rFonts w:ascii="Arial" w:eastAsia="Calibri" w:hAnsi="Arial" w:cs="Arial"/>
          <w:sz w:val="20"/>
          <w:szCs w:val="22"/>
        </w:rPr>
      </w:pPr>
      <w:r w:rsidRPr="005F27D8">
        <w:rPr>
          <w:rFonts w:ascii="Arial" w:eastAsia="Calibri" w:hAnsi="Arial" w:cs="Arial"/>
          <w:sz w:val="20"/>
          <w:szCs w:val="22"/>
        </w:rPr>
        <w:t>In MRSS scenarios, the shared usage of signals and channels also supports tight time and frequency alignment between RATs, enabling coordinated sleep and wake cycles across radios. This harmonization allows for more efficient scheduling and reduces unnecessary cross-generation signaling, which is otherwise a source of power drain in heterogeneous deployments.</w:t>
      </w:r>
    </w:p>
    <w:p w14:paraId="6D161E90" w14:textId="03A7A18D" w:rsidR="005F27D8" w:rsidRPr="005F27D8" w:rsidRDefault="005F27D8" w:rsidP="00DF1FA4">
      <w:pPr>
        <w:pStyle w:val="NormalWeb"/>
        <w:jc w:val="both"/>
        <w:rPr>
          <w:rFonts w:ascii="Arial" w:eastAsia="Calibri" w:hAnsi="Arial" w:cs="Arial"/>
          <w:sz w:val="20"/>
          <w:szCs w:val="22"/>
        </w:rPr>
      </w:pPr>
      <w:r w:rsidRPr="005F27D8">
        <w:rPr>
          <w:rFonts w:ascii="Arial" w:eastAsia="Calibri" w:hAnsi="Arial" w:cs="Arial"/>
          <w:sz w:val="20"/>
          <w:szCs w:val="22"/>
        </w:rPr>
        <w:t>In summary, the joint design and sharing of key physical signals and channels between 5G and 6G is a</w:t>
      </w:r>
      <w:r w:rsidR="00E0116B">
        <w:rPr>
          <w:rFonts w:ascii="Arial" w:eastAsia="Calibri" w:hAnsi="Arial" w:cs="Arial"/>
          <w:sz w:val="20"/>
          <w:szCs w:val="22"/>
        </w:rPr>
        <w:t xml:space="preserve">n </w:t>
      </w:r>
      <w:r w:rsidRPr="005F27D8">
        <w:rPr>
          <w:rFonts w:ascii="Arial" w:eastAsia="Calibri" w:hAnsi="Arial" w:cs="Arial"/>
          <w:sz w:val="20"/>
          <w:szCs w:val="22"/>
        </w:rPr>
        <w:t>enabler of energy-efficient MRSS. It reduces signaling duplication, optimizes radio resource usage, and simplifies device operations</w:t>
      </w:r>
      <w:r w:rsidR="00E0116B">
        <w:rPr>
          <w:rFonts w:ascii="Arial" w:eastAsia="Calibri" w:hAnsi="Arial" w:cs="Arial"/>
          <w:sz w:val="20"/>
          <w:szCs w:val="22"/>
        </w:rPr>
        <w:t xml:space="preserve">, </w:t>
      </w:r>
      <w:r w:rsidRPr="005F27D8">
        <w:rPr>
          <w:rFonts w:ascii="Arial" w:eastAsia="Calibri" w:hAnsi="Arial" w:cs="Arial"/>
          <w:sz w:val="20"/>
          <w:szCs w:val="22"/>
        </w:rPr>
        <w:t>ultimately contributing to both sustainability and seamless coexistence during the transitional phases of next-generation wireless evolution.</w:t>
      </w:r>
    </w:p>
    <w:p w14:paraId="0E18C344" w14:textId="3DD3F623" w:rsidR="00E0116B" w:rsidRPr="005632C0" w:rsidRDefault="00E0116B" w:rsidP="00DF1FA4">
      <w:pPr>
        <w:pStyle w:val="Proposal"/>
        <w:numPr>
          <w:ilvl w:val="0"/>
          <w:numId w:val="7"/>
        </w:numPr>
        <w:tabs>
          <w:tab w:val="clear" w:pos="1304"/>
          <w:tab w:val="num" w:pos="1701"/>
        </w:tabs>
        <w:ind w:left="1310" w:hanging="1310"/>
      </w:pPr>
      <w:r w:rsidRPr="00E0116B">
        <w:rPr>
          <w:rFonts w:eastAsia="Calibri" w:cs="Arial"/>
          <w:i/>
          <w:iCs/>
        </w:rPr>
        <w:t>RAN1 shall study mechanisms in 6G to enable backward-compatible use of selected 5G signals and channels, such as the SSB and broadcast channels, with the objective of improving energy efficiency and reducing signaling overhead in MRSS operations.</w:t>
      </w:r>
    </w:p>
    <w:p w14:paraId="079680AC" w14:textId="77777777" w:rsidR="005632C0" w:rsidRPr="005632C0" w:rsidRDefault="005632C0" w:rsidP="005632C0">
      <w:pPr>
        <w:pStyle w:val="Proposal"/>
        <w:tabs>
          <w:tab w:val="clear" w:pos="1701"/>
        </w:tabs>
        <w:rPr>
          <w:b w:val="0"/>
        </w:rPr>
      </w:pPr>
    </w:p>
    <w:p w14:paraId="6541E056" w14:textId="0DED6D1C" w:rsidR="00616D6B" w:rsidRPr="00BF7F66" w:rsidRDefault="00CB301B" w:rsidP="00616D6B">
      <w:pPr>
        <w:pStyle w:val="Heading4"/>
        <w:rPr>
          <w:rFonts w:ascii="Arial" w:eastAsia="Calibri" w:hAnsi="Arial" w:cs="Arial"/>
          <w:b/>
          <w:i w:val="0"/>
          <w:iCs w:val="0"/>
          <w:color w:val="auto"/>
          <w:sz w:val="22"/>
          <w:szCs w:val="22"/>
          <w:lang w:eastAsia="en-US"/>
        </w:rPr>
      </w:pPr>
      <w:r>
        <w:rPr>
          <w:rFonts w:ascii="Arial" w:eastAsia="Calibri" w:hAnsi="Arial" w:cs="Arial"/>
          <w:b/>
          <w:i w:val="0"/>
          <w:iCs w:val="0"/>
          <w:color w:val="auto"/>
          <w:sz w:val="22"/>
          <w:szCs w:val="22"/>
          <w:lang w:eastAsia="en-US"/>
        </w:rPr>
        <w:t xml:space="preserve">Support of Synchronized DTX and DRX between 5G and 6G in </w:t>
      </w:r>
      <w:r w:rsidR="00616D6B" w:rsidRPr="00BF7F66">
        <w:rPr>
          <w:rFonts w:ascii="Arial" w:eastAsia="Calibri" w:hAnsi="Arial" w:cs="Arial"/>
          <w:b/>
          <w:i w:val="0"/>
          <w:iCs w:val="0"/>
          <w:color w:val="auto"/>
          <w:sz w:val="22"/>
          <w:szCs w:val="22"/>
          <w:lang w:eastAsia="en-US"/>
        </w:rPr>
        <w:t>MRSS</w:t>
      </w:r>
    </w:p>
    <w:p w14:paraId="62909220" w14:textId="75F4B9F1" w:rsidR="0086457C" w:rsidRPr="0086457C" w:rsidRDefault="0086457C" w:rsidP="00DF1FA4">
      <w:pPr>
        <w:pStyle w:val="NormalWeb"/>
        <w:jc w:val="both"/>
        <w:rPr>
          <w:rFonts w:ascii="Arial" w:eastAsia="Calibri" w:hAnsi="Arial" w:cs="Arial"/>
          <w:sz w:val="20"/>
          <w:szCs w:val="22"/>
        </w:rPr>
      </w:pPr>
      <w:r w:rsidRPr="0086457C">
        <w:rPr>
          <w:rFonts w:ascii="Arial" w:eastAsia="Calibri" w:hAnsi="Arial" w:cs="Arial"/>
          <w:sz w:val="20"/>
          <w:szCs w:val="22"/>
        </w:rPr>
        <w:t xml:space="preserve">To enable energy-efficient </w:t>
      </w:r>
      <w:r>
        <w:rPr>
          <w:rFonts w:ascii="Arial" w:eastAsia="Calibri" w:hAnsi="Arial" w:cs="Arial"/>
          <w:sz w:val="20"/>
          <w:szCs w:val="22"/>
        </w:rPr>
        <w:t>MRSS</w:t>
      </w:r>
      <w:r w:rsidRPr="0086457C">
        <w:rPr>
          <w:rFonts w:ascii="Arial" w:eastAsia="Calibri" w:hAnsi="Arial" w:cs="Arial"/>
          <w:sz w:val="20"/>
          <w:szCs w:val="22"/>
        </w:rPr>
        <w:t xml:space="preserve"> between 5G and 6G systems, it is critical that 6G incorporates advanced power-saving mechanisms analogous to Discontinuous Transmission (DTX) and Discontinuous Reception (DRX), with explicit provisions for synchronization with their 5G equivalents. Such cross-generation alignment of sleep and wake cycles can significantly reduce energy consumption in both the radio access network and user equipment.</w:t>
      </w:r>
    </w:p>
    <w:p w14:paraId="5F42C425" w14:textId="73304864" w:rsidR="0086457C" w:rsidRPr="0086457C" w:rsidRDefault="0086457C" w:rsidP="00DF1FA4">
      <w:pPr>
        <w:pStyle w:val="NormalWeb"/>
        <w:jc w:val="both"/>
        <w:rPr>
          <w:rFonts w:ascii="Arial" w:eastAsia="Calibri" w:hAnsi="Arial" w:cs="Arial"/>
          <w:sz w:val="20"/>
          <w:szCs w:val="22"/>
        </w:rPr>
      </w:pPr>
      <w:r w:rsidRPr="0086457C">
        <w:rPr>
          <w:rFonts w:ascii="Arial" w:eastAsia="Calibri" w:hAnsi="Arial" w:cs="Arial"/>
          <w:sz w:val="20"/>
          <w:szCs w:val="22"/>
        </w:rPr>
        <w:t>In MRSS deployments</w:t>
      </w:r>
      <w:r>
        <w:rPr>
          <w:rFonts w:ascii="Arial" w:eastAsia="Calibri" w:hAnsi="Arial" w:cs="Arial"/>
          <w:sz w:val="20"/>
          <w:szCs w:val="22"/>
        </w:rPr>
        <w:t xml:space="preserve">, </w:t>
      </w:r>
      <w:r w:rsidRPr="0086457C">
        <w:rPr>
          <w:rFonts w:ascii="Arial" w:eastAsia="Calibri" w:hAnsi="Arial" w:cs="Arial"/>
          <w:sz w:val="20"/>
          <w:szCs w:val="22"/>
        </w:rPr>
        <w:t>where 5G and 6G operate simultaneously within shared or adjacent spectral resources</w:t>
      </w:r>
      <w:r>
        <w:rPr>
          <w:rFonts w:ascii="Arial" w:eastAsia="Calibri" w:hAnsi="Arial" w:cs="Arial"/>
          <w:sz w:val="20"/>
          <w:szCs w:val="22"/>
        </w:rPr>
        <w:t xml:space="preserve">, </w:t>
      </w:r>
      <w:r w:rsidRPr="0086457C">
        <w:rPr>
          <w:rFonts w:ascii="Arial" w:eastAsia="Calibri" w:hAnsi="Arial" w:cs="Arial"/>
          <w:sz w:val="20"/>
          <w:szCs w:val="22"/>
        </w:rPr>
        <w:t xml:space="preserve">unsynchronized power-saving cycles could lead to missed scheduling opportunities, </w:t>
      </w:r>
      <w:r w:rsidRPr="0086457C">
        <w:rPr>
          <w:rFonts w:ascii="Arial" w:eastAsia="Calibri" w:hAnsi="Arial" w:cs="Arial"/>
          <w:sz w:val="20"/>
          <w:szCs w:val="22"/>
        </w:rPr>
        <w:lastRenderedPageBreak/>
        <w:t>increased idle monitoring, and reduced spectral efficiency. Therefore, the ability to coordinate DTX and DRX windows across RATs not only enhances energy efficiency but also minimizes signaling overhead and interference potential, enabling both systems to maintain service continuity with optimal power utilization.</w:t>
      </w:r>
    </w:p>
    <w:p w14:paraId="1F6B9636" w14:textId="77777777" w:rsidR="0086457C" w:rsidRPr="0086457C" w:rsidRDefault="0086457C" w:rsidP="00DF1FA4">
      <w:pPr>
        <w:pStyle w:val="NormalWeb"/>
        <w:jc w:val="both"/>
        <w:rPr>
          <w:rFonts w:ascii="Arial" w:eastAsia="Calibri" w:hAnsi="Arial" w:cs="Arial"/>
          <w:sz w:val="20"/>
          <w:szCs w:val="22"/>
        </w:rPr>
      </w:pPr>
      <w:r w:rsidRPr="0086457C">
        <w:rPr>
          <w:rFonts w:ascii="Arial" w:eastAsia="Calibri" w:hAnsi="Arial" w:cs="Arial"/>
          <w:sz w:val="20"/>
          <w:szCs w:val="22"/>
        </w:rPr>
        <w:t>This harmonized approach is especially beneficial in scenarios with tightly coupled dual-connectivity or integrated multi-RAT base stations, where coordinated low-power states can be exploited to extend battery life for UEs and reduce operational costs for infrastructure providers. Supporting synchronized DTX/DRX across 5G and 6G thus becomes a foundational capability for delivering sustainable and efficient MRSS.</w:t>
      </w:r>
    </w:p>
    <w:p w14:paraId="5EB7D6F2" w14:textId="411A5ED6" w:rsidR="0086457C" w:rsidRPr="00FE1D88" w:rsidRDefault="0086457C" w:rsidP="00DF1FA4">
      <w:pPr>
        <w:pStyle w:val="Proposal"/>
        <w:numPr>
          <w:ilvl w:val="0"/>
          <w:numId w:val="7"/>
        </w:numPr>
        <w:tabs>
          <w:tab w:val="clear" w:pos="1304"/>
          <w:tab w:val="num" w:pos="1701"/>
        </w:tabs>
        <w:ind w:left="1310" w:hanging="1310"/>
        <w:rPr>
          <w:rFonts w:eastAsia="Calibri" w:cs="Arial"/>
          <w:i/>
          <w:iCs/>
        </w:rPr>
      </w:pPr>
      <w:r w:rsidRPr="00FE1D88">
        <w:rPr>
          <w:rFonts w:eastAsia="Calibri" w:cs="Arial"/>
          <w:i/>
          <w:iCs/>
        </w:rPr>
        <w:t xml:space="preserve">RAN1 shall study mechanisms in 6G to support power-saving features analogous to DTX and DRX, as well as methods to enable their synchronization with corresponding 5G DTX and DRX operations, in order to enhance the energy efficiency of </w:t>
      </w:r>
      <w:r w:rsidR="00FE1D88">
        <w:rPr>
          <w:rFonts w:eastAsia="Calibri" w:cs="Arial"/>
          <w:i/>
          <w:iCs/>
        </w:rPr>
        <w:t>MRSS</w:t>
      </w:r>
      <w:r w:rsidRPr="00FE1D88">
        <w:rPr>
          <w:rFonts w:eastAsia="Calibri" w:cs="Arial"/>
          <w:i/>
          <w:iCs/>
        </w:rPr>
        <w:t xml:space="preserve"> deployments.</w:t>
      </w:r>
    </w:p>
    <w:p w14:paraId="7FDE72CA" w14:textId="0BDEE4AE" w:rsidR="00852821" w:rsidRPr="00852821" w:rsidRDefault="00E0116B"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852821" w:rsidRPr="00852821">
        <w:rPr>
          <w:rFonts w:ascii="Arial" w:eastAsia="SimSun" w:hAnsi="Arial" w:cs="Times New Roman"/>
          <w:sz w:val="36"/>
          <w:szCs w:val="20"/>
        </w:rPr>
        <w:tab/>
        <w:t>Conclusion</w:t>
      </w:r>
    </w:p>
    <w:p w14:paraId="13E6A28D" w14:textId="4F8974CC" w:rsidR="00852821" w:rsidRDefault="00852821" w:rsidP="00DF1FA4">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In the previous sections we made the following </w:t>
      </w:r>
      <w:r w:rsidR="00E0116B">
        <w:rPr>
          <w:rFonts w:ascii="Arial" w:eastAsia="SimSun" w:hAnsi="Arial" w:cs="Arial"/>
          <w:sz w:val="20"/>
          <w:szCs w:val="22"/>
          <w:lang w:eastAsia="zh-CN"/>
        </w:rPr>
        <w:t>proposals</w:t>
      </w:r>
      <w:r w:rsidRPr="00CC6CD2">
        <w:rPr>
          <w:rFonts w:ascii="Arial" w:eastAsia="SimSun" w:hAnsi="Arial" w:cs="Arial"/>
          <w:sz w:val="20"/>
          <w:szCs w:val="22"/>
          <w:lang w:eastAsia="zh-CN"/>
        </w:rPr>
        <w:t>:</w:t>
      </w:r>
    </w:p>
    <w:p w14:paraId="3AAB24D6" w14:textId="77777777" w:rsidR="005C36F5" w:rsidRDefault="00E0116B" w:rsidP="00DF1FA4">
      <w:pPr>
        <w:pStyle w:val="Proposal"/>
        <w:numPr>
          <w:ilvl w:val="0"/>
          <w:numId w:val="19"/>
        </w:numPr>
      </w:pPr>
      <w:r w:rsidRPr="003C1291">
        <w:rPr>
          <w:i/>
          <w:iCs/>
        </w:rPr>
        <w:t>RAN1 shall study the design of 6G numerologies and the time-frequency structure of frames and slots to support smooth coexistence and efficient spectrum sharing with 5G in a common spectrum band.</w:t>
      </w:r>
    </w:p>
    <w:p w14:paraId="0AEAA917" w14:textId="77777777" w:rsidR="005C36F5" w:rsidRDefault="00E0116B" w:rsidP="00DF1FA4">
      <w:pPr>
        <w:pStyle w:val="Proposal"/>
        <w:numPr>
          <w:ilvl w:val="0"/>
          <w:numId w:val="19"/>
        </w:numPr>
      </w:pPr>
      <w:r w:rsidRPr="005C36F5">
        <w:rPr>
          <w:rFonts w:eastAsia="Calibri" w:cs="Arial"/>
          <w:i/>
          <w:iCs/>
        </w:rPr>
        <w:t>RAN1 shall study 6G waveform designs that ensure orthogonality with 5G OFDM waveforms and numerologies to enable efficient MRSS operation.</w:t>
      </w:r>
    </w:p>
    <w:p w14:paraId="43452F2B" w14:textId="77777777" w:rsidR="005C36F5" w:rsidRDefault="00E0116B" w:rsidP="00DF1FA4">
      <w:pPr>
        <w:pStyle w:val="Proposal"/>
        <w:numPr>
          <w:ilvl w:val="0"/>
          <w:numId w:val="19"/>
        </w:numPr>
      </w:pPr>
      <w:r w:rsidRPr="005C36F5">
        <w:rPr>
          <w:rFonts w:eastAsia="Calibri" w:cs="Arial"/>
          <w:i/>
          <w:iCs/>
        </w:rPr>
        <w:t>RAN1 shall study mechanisms in 6G to enable backward-compatible use of selected 5G signals and channels, such as the SSB and broadcast channels, with the objective of improving energy efficiency and reducing signaling overhead in MRSS operations.</w:t>
      </w:r>
    </w:p>
    <w:p w14:paraId="071FE9B5" w14:textId="74FA596A" w:rsidR="00FE1D88" w:rsidRPr="005C36F5" w:rsidRDefault="00FE1D88" w:rsidP="00DF1FA4">
      <w:pPr>
        <w:pStyle w:val="Proposal"/>
        <w:numPr>
          <w:ilvl w:val="0"/>
          <w:numId w:val="19"/>
        </w:numPr>
      </w:pPr>
      <w:r w:rsidRPr="005C36F5">
        <w:rPr>
          <w:rFonts w:eastAsia="Calibri" w:cs="Arial"/>
          <w:i/>
          <w:iCs/>
        </w:rPr>
        <w:t>RAN1 shall study mechanisms in 6G to support power-saving features analogous to DTX and DRX, as well as methods to enable their synchronization with corresponding 5G DTX and DRX operations, in order to enhance the energy efficiency of MRSS deployments.</w:t>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p w14:paraId="1E50B6AC" w14:textId="031A2392" w:rsidR="00616D6B" w:rsidRDefault="00616D6B" w:rsidP="00DF1FA4">
      <w:pPr>
        <w:pStyle w:val="Reference"/>
      </w:pPr>
      <w:bookmarkStart w:id="6" w:name="_Ref181970314"/>
      <w:bookmarkStart w:id="7" w:name="_Ref161349906"/>
      <w:bookmarkStart w:id="8" w:name="_Ref163158010"/>
      <w:bookmarkStart w:id="9" w:name="_Ref174151459"/>
      <w:bookmarkStart w:id="10" w:name="_Ref189809556"/>
      <w:bookmarkStart w:id="11" w:name="_Ref155950015"/>
      <w:r w:rsidRPr="00616D6B">
        <w:rPr>
          <w:rStyle w:val="Hyperlink"/>
        </w:rPr>
        <w:t>RP-230566</w:t>
      </w:r>
      <w:r w:rsidRPr="00616D6B">
        <w:t>, “</w:t>
      </w:r>
      <w:r w:rsidRPr="00616D6B">
        <w:rPr>
          <w:rFonts w:hint="eastAsia"/>
        </w:rPr>
        <w:t>Network</w:t>
      </w:r>
      <w:r w:rsidRPr="00616D6B">
        <w:t xml:space="preserve"> energy savings for NR</w:t>
      </w:r>
      <w:r w:rsidR="005C36F5">
        <w:t>,”</w:t>
      </w:r>
      <w:r w:rsidRPr="00616D6B">
        <w:t xml:space="preserve"> 3GPP TSG RAN Meeting #99, Rotterdam, Netherlands, March 20-23, 2023</w:t>
      </w:r>
    </w:p>
    <w:p w14:paraId="088F3FF0" w14:textId="0DD009AA" w:rsidR="005C36F5" w:rsidRDefault="005C36F5" w:rsidP="00DF1FA4">
      <w:pPr>
        <w:pStyle w:val="Reference"/>
      </w:pPr>
      <w:r w:rsidRPr="005C36F5">
        <w:rPr>
          <w:rStyle w:val="Hyperlink"/>
        </w:rPr>
        <w:t>RP-251682</w:t>
      </w:r>
      <w:r w:rsidRPr="005C36F5">
        <w:t>, “Key operator requirements for 6G,” 3GPP TSG-RAN Meeting #108, Prague, CZ, 9 - 13 June, 2025</w:t>
      </w:r>
      <w:r>
        <w:t xml:space="preserve"> </w:t>
      </w:r>
    </w:p>
    <w:p w14:paraId="010F8652" w14:textId="77777777" w:rsidR="005C36F5" w:rsidRDefault="005C36F5" w:rsidP="001C41A7">
      <w:pPr>
        <w:pStyle w:val="Reference"/>
        <w:numPr>
          <w:ilvl w:val="0"/>
          <w:numId w:val="0"/>
        </w:numPr>
        <w:jc w:val="left"/>
      </w:pPr>
      <w:bookmarkStart w:id="12" w:name="_GoBack"/>
      <w:bookmarkEnd w:id="3"/>
      <w:bookmarkEnd w:id="6"/>
      <w:bookmarkEnd w:id="7"/>
      <w:bookmarkEnd w:id="8"/>
      <w:bookmarkEnd w:id="9"/>
      <w:bookmarkEnd w:id="10"/>
      <w:bookmarkEnd w:id="11"/>
      <w:bookmarkEnd w:id="12"/>
    </w:p>
    <w:sectPr w:rsidR="005C36F5" w:rsidSect="006B5D58">
      <w:footerReference w:type="even"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1C147" w14:textId="77777777" w:rsidR="00155631" w:rsidRDefault="00155631">
      <w:pPr>
        <w:spacing w:after="0" w:line="240" w:lineRule="auto"/>
      </w:pPr>
      <w:r>
        <w:separator/>
      </w:r>
    </w:p>
  </w:endnote>
  <w:endnote w:type="continuationSeparator" w:id="0">
    <w:p w14:paraId="21BA79A9" w14:textId="77777777" w:rsidR="00155631" w:rsidRDefault="00155631">
      <w:pPr>
        <w:spacing w:after="0" w:line="240" w:lineRule="auto"/>
      </w:pPr>
      <w:r>
        <w:continuationSeparator/>
      </w:r>
    </w:p>
  </w:endnote>
  <w:endnote w:type="continuationNotice" w:id="1">
    <w:p w14:paraId="0E4C6166" w14:textId="77777777" w:rsidR="00155631" w:rsidRDefault="001556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ptos">
    <w:altName w:val="Arial"/>
    <w:charset w:val="00"/>
    <w:family w:val="swiss"/>
    <w:pitch w:val="variable"/>
    <w:sig w:usb0="20000287" w:usb1="00000003"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20000287" w:usb1="00000003"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5ZQIAAKM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nlZgIAAKo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AjfpnlZgIAAKoEAAAOAAAAAAAAAAAAAAAAAC4CAABkcnMvZTJv&#10;RG9jLnhtbFBLAQItABQABgAIAAAAIQCKhy3u2QAAAAMBAAAPAAAAAAAAAAAAAAAAAMAEAABkcnMv&#10;ZG93bnJldi54bWxQSwUGAAAAAAQABADzAAAAxgUAA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F7F99" w14:textId="77777777" w:rsidR="00155631" w:rsidRDefault="00155631">
      <w:pPr>
        <w:spacing w:after="0" w:line="240" w:lineRule="auto"/>
      </w:pPr>
      <w:r>
        <w:separator/>
      </w:r>
    </w:p>
  </w:footnote>
  <w:footnote w:type="continuationSeparator" w:id="0">
    <w:p w14:paraId="69AD69C3" w14:textId="77777777" w:rsidR="00155631" w:rsidRDefault="00155631">
      <w:pPr>
        <w:spacing w:after="0" w:line="240" w:lineRule="auto"/>
      </w:pPr>
      <w:r>
        <w:continuationSeparator/>
      </w:r>
    </w:p>
  </w:footnote>
  <w:footnote w:type="continuationNotice" w:id="1">
    <w:p w14:paraId="132BCD52" w14:textId="77777777" w:rsidR="00155631" w:rsidRDefault="001556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80F"/>
    <w:multiLevelType w:val="hybridMultilevel"/>
    <w:tmpl w:val="2E8C1B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3">
      <w:start w:val="1"/>
      <w:numFmt w:val="bullet"/>
      <w:lvlText w:val="o"/>
      <w:lvlJc w:val="left"/>
      <w:pPr>
        <w:ind w:left="2880" w:hanging="360"/>
      </w:pPr>
      <w:rPr>
        <w:rFonts w:ascii="Courier New" w:hAnsi="Courier New" w:cs="Courier New"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B216FA"/>
    <w:multiLevelType w:val="hybridMultilevel"/>
    <w:tmpl w:val="B2A03E5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EEB01D9"/>
    <w:multiLevelType w:val="hybridMultilevel"/>
    <w:tmpl w:val="3F669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E3472"/>
    <w:multiLevelType w:val="hybridMultilevel"/>
    <w:tmpl w:val="EF4CB59E"/>
    <w:lvl w:ilvl="0" w:tplc="FF9A5C4A">
      <w:start w:val="1"/>
      <w:numFmt w:val="decimal"/>
      <w:lvlText w:val="Proposal %1"/>
      <w:lvlJc w:val="left"/>
      <w:pPr>
        <w:tabs>
          <w:tab w:val="num" w:pos="1304"/>
        </w:tabs>
        <w:ind w:left="1304" w:hanging="1304"/>
      </w:pPr>
      <w:rPr>
        <w:color w:val="auto"/>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E75D1B"/>
    <w:multiLevelType w:val="hybridMultilevel"/>
    <w:tmpl w:val="44DE5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6949FE"/>
    <w:multiLevelType w:val="hybridMultilevel"/>
    <w:tmpl w:val="488C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EF4CB59E"/>
    <w:lvl w:ilvl="0" w:tplc="FF9A5C4A">
      <w:start w:val="1"/>
      <w:numFmt w:val="decimal"/>
      <w:lvlText w:val="Proposal %1"/>
      <w:lvlJc w:val="left"/>
      <w:pPr>
        <w:tabs>
          <w:tab w:val="num" w:pos="1304"/>
        </w:tabs>
        <w:ind w:left="1304" w:hanging="1304"/>
      </w:pPr>
      <w:rPr>
        <w:color w:val="auto"/>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A7746D"/>
    <w:multiLevelType w:val="hybridMultilevel"/>
    <w:tmpl w:val="9D82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816DF7"/>
    <w:multiLevelType w:val="hybridMultilevel"/>
    <w:tmpl w:val="F4AC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07088C"/>
    <w:multiLevelType w:val="multilevel"/>
    <w:tmpl w:val="09C6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4"/>
  </w:num>
  <w:num w:numId="3">
    <w:abstractNumId w:val="6"/>
  </w:num>
  <w:num w:numId="4">
    <w:abstractNumId w:val="4"/>
  </w:num>
  <w:num w:numId="5">
    <w:abstractNumId w:val="2"/>
  </w:num>
  <w:num w:numId="6">
    <w:abstractNumId w:val="8"/>
  </w:num>
  <w:num w:numId="7">
    <w:abstractNumId w:val="9"/>
  </w:num>
  <w:num w:numId="8">
    <w:abstractNumId w:val="17"/>
  </w:num>
  <w:num w:numId="9">
    <w:abstractNumId w:val="0"/>
  </w:num>
  <w:num w:numId="10">
    <w:abstractNumId w:val="13"/>
  </w:num>
  <w:num w:numId="11">
    <w:abstractNumId w:val="11"/>
  </w:num>
  <w:num w:numId="12">
    <w:abstractNumId w:val="7"/>
  </w:num>
  <w:num w:numId="13">
    <w:abstractNumId w:val="5"/>
  </w:num>
  <w:num w:numId="14">
    <w:abstractNumId w:val="18"/>
  </w:num>
  <w:num w:numId="15">
    <w:abstractNumId w:val="1"/>
  </w:num>
  <w:num w:numId="16">
    <w:abstractNumId w:val="10"/>
  </w:num>
  <w:num w:numId="17">
    <w:abstractNumId w:val="15"/>
  </w:num>
  <w:num w:numId="18">
    <w:abstractNumId w:val="16"/>
  </w:num>
  <w:num w:numId="1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A639A4"/>
    <w:rsid w:val="00000441"/>
    <w:rsid w:val="0000222B"/>
    <w:rsid w:val="00002713"/>
    <w:rsid w:val="00004021"/>
    <w:rsid w:val="00004F1D"/>
    <w:rsid w:val="00005FDE"/>
    <w:rsid w:val="000079D8"/>
    <w:rsid w:val="00012182"/>
    <w:rsid w:val="00015E2D"/>
    <w:rsid w:val="00020601"/>
    <w:rsid w:val="00022FE5"/>
    <w:rsid w:val="00026811"/>
    <w:rsid w:val="00035286"/>
    <w:rsid w:val="0003571A"/>
    <w:rsid w:val="0003584D"/>
    <w:rsid w:val="0003632F"/>
    <w:rsid w:val="000364CC"/>
    <w:rsid w:val="000369DA"/>
    <w:rsid w:val="00036B8B"/>
    <w:rsid w:val="00036F20"/>
    <w:rsid w:val="000408DD"/>
    <w:rsid w:val="0004134F"/>
    <w:rsid w:val="00041659"/>
    <w:rsid w:val="00043EE2"/>
    <w:rsid w:val="0004415F"/>
    <w:rsid w:val="000445A0"/>
    <w:rsid w:val="00050493"/>
    <w:rsid w:val="0005086C"/>
    <w:rsid w:val="00052873"/>
    <w:rsid w:val="00054710"/>
    <w:rsid w:val="000548A5"/>
    <w:rsid w:val="00056E40"/>
    <w:rsid w:val="00057CB4"/>
    <w:rsid w:val="00060571"/>
    <w:rsid w:val="00061728"/>
    <w:rsid w:val="00063107"/>
    <w:rsid w:val="000636DB"/>
    <w:rsid w:val="0006411E"/>
    <w:rsid w:val="00064532"/>
    <w:rsid w:val="00064CF8"/>
    <w:rsid w:val="000657B3"/>
    <w:rsid w:val="000702BA"/>
    <w:rsid w:val="00075042"/>
    <w:rsid w:val="00075B06"/>
    <w:rsid w:val="00082392"/>
    <w:rsid w:val="000829EF"/>
    <w:rsid w:val="000836A1"/>
    <w:rsid w:val="00086A8B"/>
    <w:rsid w:val="0009093D"/>
    <w:rsid w:val="00090B65"/>
    <w:rsid w:val="000957AB"/>
    <w:rsid w:val="00095EF3"/>
    <w:rsid w:val="00096EAF"/>
    <w:rsid w:val="000A2F69"/>
    <w:rsid w:val="000A4237"/>
    <w:rsid w:val="000A4BCC"/>
    <w:rsid w:val="000A5DE8"/>
    <w:rsid w:val="000A618F"/>
    <w:rsid w:val="000A62F0"/>
    <w:rsid w:val="000B02E3"/>
    <w:rsid w:val="000B2CCE"/>
    <w:rsid w:val="000B388F"/>
    <w:rsid w:val="000B4970"/>
    <w:rsid w:val="000B5CCD"/>
    <w:rsid w:val="000B6E55"/>
    <w:rsid w:val="000B73C4"/>
    <w:rsid w:val="000C25C4"/>
    <w:rsid w:val="000C2A31"/>
    <w:rsid w:val="000C2FD5"/>
    <w:rsid w:val="000C59AE"/>
    <w:rsid w:val="000C6269"/>
    <w:rsid w:val="000C63BB"/>
    <w:rsid w:val="000C76BD"/>
    <w:rsid w:val="000D315F"/>
    <w:rsid w:val="000D319D"/>
    <w:rsid w:val="000D390F"/>
    <w:rsid w:val="000D486C"/>
    <w:rsid w:val="000E23DA"/>
    <w:rsid w:val="000E748D"/>
    <w:rsid w:val="000F066A"/>
    <w:rsid w:val="000F2A2C"/>
    <w:rsid w:val="000F32A4"/>
    <w:rsid w:val="000F6247"/>
    <w:rsid w:val="000F7AD3"/>
    <w:rsid w:val="00100860"/>
    <w:rsid w:val="00101951"/>
    <w:rsid w:val="00103524"/>
    <w:rsid w:val="00105E70"/>
    <w:rsid w:val="00107A6C"/>
    <w:rsid w:val="00110547"/>
    <w:rsid w:val="00110ABD"/>
    <w:rsid w:val="0011276A"/>
    <w:rsid w:val="00112B4F"/>
    <w:rsid w:val="00112EBE"/>
    <w:rsid w:val="001156D6"/>
    <w:rsid w:val="00115D67"/>
    <w:rsid w:val="001161D9"/>
    <w:rsid w:val="0012299C"/>
    <w:rsid w:val="00126565"/>
    <w:rsid w:val="00131833"/>
    <w:rsid w:val="00137693"/>
    <w:rsid w:val="0013783F"/>
    <w:rsid w:val="001409A4"/>
    <w:rsid w:val="00141705"/>
    <w:rsid w:val="0014225E"/>
    <w:rsid w:val="00142708"/>
    <w:rsid w:val="00144799"/>
    <w:rsid w:val="00146978"/>
    <w:rsid w:val="0015328D"/>
    <w:rsid w:val="00153706"/>
    <w:rsid w:val="00155631"/>
    <w:rsid w:val="00157C84"/>
    <w:rsid w:val="00162947"/>
    <w:rsid w:val="00164EAE"/>
    <w:rsid w:val="00165961"/>
    <w:rsid w:val="001664E8"/>
    <w:rsid w:val="001705DD"/>
    <w:rsid w:val="0017080E"/>
    <w:rsid w:val="00172050"/>
    <w:rsid w:val="00174D89"/>
    <w:rsid w:val="00175A50"/>
    <w:rsid w:val="00176ED5"/>
    <w:rsid w:val="00181E8F"/>
    <w:rsid w:val="00183D0E"/>
    <w:rsid w:val="001843E4"/>
    <w:rsid w:val="00184BE8"/>
    <w:rsid w:val="00186B85"/>
    <w:rsid w:val="00196150"/>
    <w:rsid w:val="001A0B1F"/>
    <w:rsid w:val="001A1847"/>
    <w:rsid w:val="001A19FA"/>
    <w:rsid w:val="001A1F77"/>
    <w:rsid w:val="001A2E8A"/>
    <w:rsid w:val="001A4575"/>
    <w:rsid w:val="001A5B75"/>
    <w:rsid w:val="001A5F0A"/>
    <w:rsid w:val="001A6F38"/>
    <w:rsid w:val="001B18F2"/>
    <w:rsid w:val="001B312B"/>
    <w:rsid w:val="001B39F6"/>
    <w:rsid w:val="001B5BCE"/>
    <w:rsid w:val="001B6220"/>
    <w:rsid w:val="001B69E0"/>
    <w:rsid w:val="001B7CB5"/>
    <w:rsid w:val="001C41A7"/>
    <w:rsid w:val="001C579C"/>
    <w:rsid w:val="001D2F9B"/>
    <w:rsid w:val="001D3621"/>
    <w:rsid w:val="001D70A8"/>
    <w:rsid w:val="001E3F9A"/>
    <w:rsid w:val="001E459C"/>
    <w:rsid w:val="001E6706"/>
    <w:rsid w:val="001F1587"/>
    <w:rsid w:val="001F32E4"/>
    <w:rsid w:val="001F54B1"/>
    <w:rsid w:val="001F7F94"/>
    <w:rsid w:val="002016FC"/>
    <w:rsid w:val="00202701"/>
    <w:rsid w:val="00204B3F"/>
    <w:rsid w:val="002063EC"/>
    <w:rsid w:val="002073D0"/>
    <w:rsid w:val="0020798D"/>
    <w:rsid w:val="00207AAE"/>
    <w:rsid w:val="002100D0"/>
    <w:rsid w:val="002114B4"/>
    <w:rsid w:val="00213846"/>
    <w:rsid w:val="00217558"/>
    <w:rsid w:val="00217980"/>
    <w:rsid w:val="00220172"/>
    <w:rsid w:val="00220756"/>
    <w:rsid w:val="00222150"/>
    <w:rsid w:val="0022323C"/>
    <w:rsid w:val="00226AE7"/>
    <w:rsid w:val="0023164B"/>
    <w:rsid w:val="0023385C"/>
    <w:rsid w:val="002371DE"/>
    <w:rsid w:val="00240697"/>
    <w:rsid w:val="00241CD0"/>
    <w:rsid w:val="002423EF"/>
    <w:rsid w:val="00242608"/>
    <w:rsid w:val="00242F00"/>
    <w:rsid w:val="0024572A"/>
    <w:rsid w:val="00246F5B"/>
    <w:rsid w:val="0025362D"/>
    <w:rsid w:val="00253F39"/>
    <w:rsid w:val="00257504"/>
    <w:rsid w:val="00260A37"/>
    <w:rsid w:val="00262033"/>
    <w:rsid w:val="00263F60"/>
    <w:rsid w:val="002652DB"/>
    <w:rsid w:val="002655B7"/>
    <w:rsid w:val="00267544"/>
    <w:rsid w:val="0027081D"/>
    <w:rsid w:val="002744C3"/>
    <w:rsid w:val="00275CF4"/>
    <w:rsid w:val="00277C63"/>
    <w:rsid w:val="00277F79"/>
    <w:rsid w:val="002816A2"/>
    <w:rsid w:val="00281B39"/>
    <w:rsid w:val="002827BF"/>
    <w:rsid w:val="0028577A"/>
    <w:rsid w:val="002869C5"/>
    <w:rsid w:val="00292104"/>
    <w:rsid w:val="00292C7E"/>
    <w:rsid w:val="002950F4"/>
    <w:rsid w:val="00296CF3"/>
    <w:rsid w:val="002A056C"/>
    <w:rsid w:val="002A0D81"/>
    <w:rsid w:val="002A0F26"/>
    <w:rsid w:val="002A2E09"/>
    <w:rsid w:val="002A35DB"/>
    <w:rsid w:val="002A4DD9"/>
    <w:rsid w:val="002B4945"/>
    <w:rsid w:val="002B539F"/>
    <w:rsid w:val="002B53A4"/>
    <w:rsid w:val="002B5924"/>
    <w:rsid w:val="002C0CC7"/>
    <w:rsid w:val="002C3CAB"/>
    <w:rsid w:val="002C49F3"/>
    <w:rsid w:val="002C4D0B"/>
    <w:rsid w:val="002C7E7C"/>
    <w:rsid w:val="002D0A1A"/>
    <w:rsid w:val="002D17E0"/>
    <w:rsid w:val="002D4835"/>
    <w:rsid w:val="002D6530"/>
    <w:rsid w:val="002E0837"/>
    <w:rsid w:val="002E6AA6"/>
    <w:rsid w:val="002F06E1"/>
    <w:rsid w:val="002F31C2"/>
    <w:rsid w:val="00300643"/>
    <w:rsid w:val="003006EE"/>
    <w:rsid w:val="00303318"/>
    <w:rsid w:val="003045B3"/>
    <w:rsid w:val="0030705C"/>
    <w:rsid w:val="003107B1"/>
    <w:rsid w:val="00310CDA"/>
    <w:rsid w:val="0031292A"/>
    <w:rsid w:val="00312BE6"/>
    <w:rsid w:val="00316AB9"/>
    <w:rsid w:val="003174AE"/>
    <w:rsid w:val="00320441"/>
    <w:rsid w:val="0032185C"/>
    <w:rsid w:val="00321FE2"/>
    <w:rsid w:val="0032222F"/>
    <w:rsid w:val="00325443"/>
    <w:rsid w:val="00325B82"/>
    <w:rsid w:val="00326DB3"/>
    <w:rsid w:val="00331FDD"/>
    <w:rsid w:val="00335BBD"/>
    <w:rsid w:val="0033776F"/>
    <w:rsid w:val="003430BE"/>
    <w:rsid w:val="00343AF3"/>
    <w:rsid w:val="00343FD8"/>
    <w:rsid w:val="0034464B"/>
    <w:rsid w:val="00345EF1"/>
    <w:rsid w:val="0034685D"/>
    <w:rsid w:val="00350ED5"/>
    <w:rsid w:val="00351A71"/>
    <w:rsid w:val="00353085"/>
    <w:rsid w:val="00357DC0"/>
    <w:rsid w:val="00360039"/>
    <w:rsid w:val="0036023D"/>
    <w:rsid w:val="00362068"/>
    <w:rsid w:val="003624B5"/>
    <w:rsid w:val="00362C97"/>
    <w:rsid w:val="003645D1"/>
    <w:rsid w:val="00365561"/>
    <w:rsid w:val="0036748A"/>
    <w:rsid w:val="0037200E"/>
    <w:rsid w:val="00376393"/>
    <w:rsid w:val="003769D4"/>
    <w:rsid w:val="003775A2"/>
    <w:rsid w:val="003819A2"/>
    <w:rsid w:val="00381E2F"/>
    <w:rsid w:val="0038278F"/>
    <w:rsid w:val="0038406F"/>
    <w:rsid w:val="003859D7"/>
    <w:rsid w:val="00386007"/>
    <w:rsid w:val="0038771A"/>
    <w:rsid w:val="003910A0"/>
    <w:rsid w:val="00391208"/>
    <w:rsid w:val="00391FB9"/>
    <w:rsid w:val="00392258"/>
    <w:rsid w:val="003966BA"/>
    <w:rsid w:val="003A03BA"/>
    <w:rsid w:val="003A0DF7"/>
    <w:rsid w:val="003A460E"/>
    <w:rsid w:val="003A7B07"/>
    <w:rsid w:val="003B181F"/>
    <w:rsid w:val="003B39EE"/>
    <w:rsid w:val="003B51C1"/>
    <w:rsid w:val="003B5FD7"/>
    <w:rsid w:val="003C126A"/>
    <w:rsid w:val="003C1291"/>
    <w:rsid w:val="003C6B68"/>
    <w:rsid w:val="003C7829"/>
    <w:rsid w:val="003D50C5"/>
    <w:rsid w:val="003E1C23"/>
    <w:rsid w:val="003E34E8"/>
    <w:rsid w:val="003E3621"/>
    <w:rsid w:val="003E4977"/>
    <w:rsid w:val="003E5BB4"/>
    <w:rsid w:val="003E5FF7"/>
    <w:rsid w:val="003E670A"/>
    <w:rsid w:val="003F17C9"/>
    <w:rsid w:val="003F27BA"/>
    <w:rsid w:val="003F2EF0"/>
    <w:rsid w:val="003F5581"/>
    <w:rsid w:val="003F6999"/>
    <w:rsid w:val="003F7E3E"/>
    <w:rsid w:val="00402C93"/>
    <w:rsid w:val="00403B41"/>
    <w:rsid w:val="00407047"/>
    <w:rsid w:val="00410224"/>
    <w:rsid w:val="004113B1"/>
    <w:rsid w:val="00411F87"/>
    <w:rsid w:val="00412D08"/>
    <w:rsid w:val="00413761"/>
    <w:rsid w:val="00417078"/>
    <w:rsid w:val="00420990"/>
    <w:rsid w:val="00421F1E"/>
    <w:rsid w:val="00421F93"/>
    <w:rsid w:val="00424F13"/>
    <w:rsid w:val="004255BD"/>
    <w:rsid w:val="00427396"/>
    <w:rsid w:val="00427D87"/>
    <w:rsid w:val="0043094C"/>
    <w:rsid w:val="00430ADF"/>
    <w:rsid w:val="00431165"/>
    <w:rsid w:val="00433A92"/>
    <w:rsid w:val="00434F66"/>
    <w:rsid w:val="00437413"/>
    <w:rsid w:val="0044127B"/>
    <w:rsid w:val="004424A3"/>
    <w:rsid w:val="0044260E"/>
    <w:rsid w:val="00442815"/>
    <w:rsid w:val="00442E6F"/>
    <w:rsid w:val="00444E68"/>
    <w:rsid w:val="00445406"/>
    <w:rsid w:val="00445C17"/>
    <w:rsid w:val="00446387"/>
    <w:rsid w:val="00447599"/>
    <w:rsid w:val="0045116F"/>
    <w:rsid w:val="00454D7E"/>
    <w:rsid w:val="004606BA"/>
    <w:rsid w:val="0046145B"/>
    <w:rsid w:val="00467138"/>
    <w:rsid w:val="00467415"/>
    <w:rsid w:val="00467483"/>
    <w:rsid w:val="004706B4"/>
    <w:rsid w:val="00474A93"/>
    <w:rsid w:val="00474F92"/>
    <w:rsid w:val="0047545D"/>
    <w:rsid w:val="004813F4"/>
    <w:rsid w:val="00481F72"/>
    <w:rsid w:val="00482BE6"/>
    <w:rsid w:val="00482D3A"/>
    <w:rsid w:val="00484D86"/>
    <w:rsid w:val="00486909"/>
    <w:rsid w:val="00486D8E"/>
    <w:rsid w:val="00487E7A"/>
    <w:rsid w:val="00487FE2"/>
    <w:rsid w:val="00490673"/>
    <w:rsid w:val="004967EC"/>
    <w:rsid w:val="00497874"/>
    <w:rsid w:val="00497DDC"/>
    <w:rsid w:val="004A0158"/>
    <w:rsid w:val="004A0235"/>
    <w:rsid w:val="004A5224"/>
    <w:rsid w:val="004B17E6"/>
    <w:rsid w:val="004B29FB"/>
    <w:rsid w:val="004B378B"/>
    <w:rsid w:val="004B43F3"/>
    <w:rsid w:val="004B4B04"/>
    <w:rsid w:val="004B6FB1"/>
    <w:rsid w:val="004B7E75"/>
    <w:rsid w:val="004C321E"/>
    <w:rsid w:val="004C4DBF"/>
    <w:rsid w:val="004C5484"/>
    <w:rsid w:val="004C59CA"/>
    <w:rsid w:val="004D0056"/>
    <w:rsid w:val="004D0C9B"/>
    <w:rsid w:val="004D17DC"/>
    <w:rsid w:val="004D4F02"/>
    <w:rsid w:val="004D5BAA"/>
    <w:rsid w:val="004E1533"/>
    <w:rsid w:val="004E2D0E"/>
    <w:rsid w:val="004E2DB0"/>
    <w:rsid w:val="004E394E"/>
    <w:rsid w:val="004E3B80"/>
    <w:rsid w:val="004E7C6B"/>
    <w:rsid w:val="004F42BA"/>
    <w:rsid w:val="004F47F7"/>
    <w:rsid w:val="004F4A59"/>
    <w:rsid w:val="004F7045"/>
    <w:rsid w:val="00502071"/>
    <w:rsid w:val="00503005"/>
    <w:rsid w:val="00504803"/>
    <w:rsid w:val="00505BF2"/>
    <w:rsid w:val="00510402"/>
    <w:rsid w:val="005109DA"/>
    <w:rsid w:val="00510FA5"/>
    <w:rsid w:val="00513585"/>
    <w:rsid w:val="00520B04"/>
    <w:rsid w:val="00522331"/>
    <w:rsid w:val="00524465"/>
    <w:rsid w:val="005258F8"/>
    <w:rsid w:val="0052757D"/>
    <w:rsid w:val="0053060E"/>
    <w:rsid w:val="00530DDF"/>
    <w:rsid w:val="00532366"/>
    <w:rsid w:val="0053338F"/>
    <w:rsid w:val="005346E0"/>
    <w:rsid w:val="00536C9D"/>
    <w:rsid w:val="00541FA6"/>
    <w:rsid w:val="00543CB6"/>
    <w:rsid w:val="00544154"/>
    <w:rsid w:val="0054645F"/>
    <w:rsid w:val="00551863"/>
    <w:rsid w:val="00555155"/>
    <w:rsid w:val="00555EA8"/>
    <w:rsid w:val="00557E92"/>
    <w:rsid w:val="00560496"/>
    <w:rsid w:val="00561547"/>
    <w:rsid w:val="00562B9D"/>
    <w:rsid w:val="00562F18"/>
    <w:rsid w:val="005632C0"/>
    <w:rsid w:val="005653B4"/>
    <w:rsid w:val="005673E9"/>
    <w:rsid w:val="00567424"/>
    <w:rsid w:val="00570B28"/>
    <w:rsid w:val="005716BC"/>
    <w:rsid w:val="00571EDA"/>
    <w:rsid w:val="005739FC"/>
    <w:rsid w:val="00575279"/>
    <w:rsid w:val="005774AF"/>
    <w:rsid w:val="005801C4"/>
    <w:rsid w:val="0058135F"/>
    <w:rsid w:val="005829F0"/>
    <w:rsid w:val="00583556"/>
    <w:rsid w:val="00585102"/>
    <w:rsid w:val="00585C9C"/>
    <w:rsid w:val="00586CA3"/>
    <w:rsid w:val="0058730C"/>
    <w:rsid w:val="00587E0B"/>
    <w:rsid w:val="00590996"/>
    <w:rsid w:val="00590CFC"/>
    <w:rsid w:val="00590DE2"/>
    <w:rsid w:val="00596CAD"/>
    <w:rsid w:val="00597B25"/>
    <w:rsid w:val="005A2BAD"/>
    <w:rsid w:val="005A4B14"/>
    <w:rsid w:val="005A5BF3"/>
    <w:rsid w:val="005A666C"/>
    <w:rsid w:val="005A6BBB"/>
    <w:rsid w:val="005A7B12"/>
    <w:rsid w:val="005B146E"/>
    <w:rsid w:val="005B18F5"/>
    <w:rsid w:val="005B1BBD"/>
    <w:rsid w:val="005B2390"/>
    <w:rsid w:val="005B4371"/>
    <w:rsid w:val="005B43DB"/>
    <w:rsid w:val="005B4DE1"/>
    <w:rsid w:val="005C0EE3"/>
    <w:rsid w:val="005C1EC3"/>
    <w:rsid w:val="005C1FFA"/>
    <w:rsid w:val="005C27C6"/>
    <w:rsid w:val="005C36F5"/>
    <w:rsid w:val="005C46B5"/>
    <w:rsid w:val="005C4FF9"/>
    <w:rsid w:val="005C5313"/>
    <w:rsid w:val="005D0B82"/>
    <w:rsid w:val="005D0D49"/>
    <w:rsid w:val="005D128E"/>
    <w:rsid w:val="005D146C"/>
    <w:rsid w:val="005D1EF6"/>
    <w:rsid w:val="005D4E35"/>
    <w:rsid w:val="005E0E6F"/>
    <w:rsid w:val="005E19EC"/>
    <w:rsid w:val="005E1C62"/>
    <w:rsid w:val="005E4A67"/>
    <w:rsid w:val="005E4B8E"/>
    <w:rsid w:val="005F067D"/>
    <w:rsid w:val="005F14CA"/>
    <w:rsid w:val="005F27D8"/>
    <w:rsid w:val="005F2889"/>
    <w:rsid w:val="005F2CA9"/>
    <w:rsid w:val="005F3FF6"/>
    <w:rsid w:val="005F40E3"/>
    <w:rsid w:val="005F4CC6"/>
    <w:rsid w:val="005F7619"/>
    <w:rsid w:val="00603B85"/>
    <w:rsid w:val="0061413D"/>
    <w:rsid w:val="00616D6B"/>
    <w:rsid w:val="006173B5"/>
    <w:rsid w:val="00621831"/>
    <w:rsid w:val="00621E63"/>
    <w:rsid w:val="006232C7"/>
    <w:rsid w:val="006233D5"/>
    <w:rsid w:val="006256B9"/>
    <w:rsid w:val="00626A03"/>
    <w:rsid w:val="00626EB6"/>
    <w:rsid w:val="006303C7"/>
    <w:rsid w:val="0063054C"/>
    <w:rsid w:val="0063061D"/>
    <w:rsid w:val="0063319B"/>
    <w:rsid w:val="00637520"/>
    <w:rsid w:val="00637D65"/>
    <w:rsid w:val="00640FCA"/>
    <w:rsid w:val="0064656F"/>
    <w:rsid w:val="006467FE"/>
    <w:rsid w:val="00646E58"/>
    <w:rsid w:val="00647505"/>
    <w:rsid w:val="00647BDA"/>
    <w:rsid w:val="00652594"/>
    <w:rsid w:val="0065364E"/>
    <w:rsid w:val="0065522D"/>
    <w:rsid w:val="00661F8C"/>
    <w:rsid w:val="00662A78"/>
    <w:rsid w:val="006641D2"/>
    <w:rsid w:val="00664D60"/>
    <w:rsid w:val="00665602"/>
    <w:rsid w:val="006663E7"/>
    <w:rsid w:val="0066693C"/>
    <w:rsid w:val="006719DA"/>
    <w:rsid w:val="00674177"/>
    <w:rsid w:val="006769C7"/>
    <w:rsid w:val="00682268"/>
    <w:rsid w:val="00683375"/>
    <w:rsid w:val="006842D3"/>
    <w:rsid w:val="006847AB"/>
    <w:rsid w:val="006849E0"/>
    <w:rsid w:val="00690AF3"/>
    <w:rsid w:val="00693261"/>
    <w:rsid w:val="00693755"/>
    <w:rsid w:val="006947C8"/>
    <w:rsid w:val="00695A01"/>
    <w:rsid w:val="006A1532"/>
    <w:rsid w:val="006A17F5"/>
    <w:rsid w:val="006A3AB0"/>
    <w:rsid w:val="006A3F67"/>
    <w:rsid w:val="006A521C"/>
    <w:rsid w:val="006A6AE8"/>
    <w:rsid w:val="006B1B51"/>
    <w:rsid w:val="006B3FD1"/>
    <w:rsid w:val="006B5542"/>
    <w:rsid w:val="006B5D58"/>
    <w:rsid w:val="006B6D20"/>
    <w:rsid w:val="006B799D"/>
    <w:rsid w:val="006B7DFA"/>
    <w:rsid w:val="006C0233"/>
    <w:rsid w:val="006C3E61"/>
    <w:rsid w:val="006C46F0"/>
    <w:rsid w:val="006C5EBF"/>
    <w:rsid w:val="006D1E3C"/>
    <w:rsid w:val="006D4B7A"/>
    <w:rsid w:val="006D71D2"/>
    <w:rsid w:val="006D7450"/>
    <w:rsid w:val="006E2B5B"/>
    <w:rsid w:val="006E3807"/>
    <w:rsid w:val="006E630A"/>
    <w:rsid w:val="006E7028"/>
    <w:rsid w:val="006F7469"/>
    <w:rsid w:val="006F78D9"/>
    <w:rsid w:val="00700D2D"/>
    <w:rsid w:val="00701EAC"/>
    <w:rsid w:val="007051DA"/>
    <w:rsid w:val="00705C88"/>
    <w:rsid w:val="00706574"/>
    <w:rsid w:val="00713018"/>
    <w:rsid w:val="00713D70"/>
    <w:rsid w:val="00713F4C"/>
    <w:rsid w:val="007165D8"/>
    <w:rsid w:val="00721BF3"/>
    <w:rsid w:val="00725124"/>
    <w:rsid w:val="007274DE"/>
    <w:rsid w:val="00730DF6"/>
    <w:rsid w:val="0073211F"/>
    <w:rsid w:val="00732F1E"/>
    <w:rsid w:val="00734876"/>
    <w:rsid w:val="00734F73"/>
    <w:rsid w:val="007354EC"/>
    <w:rsid w:val="00735EF1"/>
    <w:rsid w:val="007425B7"/>
    <w:rsid w:val="007468B0"/>
    <w:rsid w:val="00750FA7"/>
    <w:rsid w:val="0075125E"/>
    <w:rsid w:val="007516C5"/>
    <w:rsid w:val="00752B91"/>
    <w:rsid w:val="00752E68"/>
    <w:rsid w:val="00756917"/>
    <w:rsid w:val="00756E87"/>
    <w:rsid w:val="0075731E"/>
    <w:rsid w:val="00760E9A"/>
    <w:rsid w:val="00760F06"/>
    <w:rsid w:val="00761020"/>
    <w:rsid w:val="007647FC"/>
    <w:rsid w:val="00764E70"/>
    <w:rsid w:val="00765C2F"/>
    <w:rsid w:val="00766C9C"/>
    <w:rsid w:val="007750B7"/>
    <w:rsid w:val="00775FD7"/>
    <w:rsid w:val="00783099"/>
    <w:rsid w:val="00783572"/>
    <w:rsid w:val="00784649"/>
    <w:rsid w:val="00784A79"/>
    <w:rsid w:val="00784FCC"/>
    <w:rsid w:val="00785E7E"/>
    <w:rsid w:val="00785E86"/>
    <w:rsid w:val="0078767D"/>
    <w:rsid w:val="00791811"/>
    <w:rsid w:val="007945E0"/>
    <w:rsid w:val="00795BCA"/>
    <w:rsid w:val="007A21BA"/>
    <w:rsid w:val="007A3193"/>
    <w:rsid w:val="007A4BD0"/>
    <w:rsid w:val="007A541E"/>
    <w:rsid w:val="007A58BA"/>
    <w:rsid w:val="007B1099"/>
    <w:rsid w:val="007B1C0E"/>
    <w:rsid w:val="007B3398"/>
    <w:rsid w:val="007B4EA8"/>
    <w:rsid w:val="007B4F23"/>
    <w:rsid w:val="007B5DC6"/>
    <w:rsid w:val="007B6937"/>
    <w:rsid w:val="007C0468"/>
    <w:rsid w:val="007C47E3"/>
    <w:rsid w:val="007C4960"/>
    <w:rsid w:val="007C6FE9"/>
    <w:rsid w:val="007C7EE3"/>
    <w:rsid w:val="007D2493"/>
    <w:rsid w:val="007D2BD6"/>
    <w:rsid w:val="007D4169"/>
    <w:rsid w:val="007D4DEF"/>
    <w:rsid w:val="007D4E40"/>
    <w:rsid w:val="007E0B32"/>
    <w:rsid w:val="007E1507"/>
    <w:rsid w:val="007E226F"/>
    <w:rsid w:val="007E3224"/>
    <w:rsid w:val="007E38AC"/>
    <w:rsid w:val="007E576C"/>
    <w:rsid w:val="007E7162"/>
    <w:rsid w:val="007F09FF"/>
    <w:rsid w:val="007F0EBC"/>
    <w:rsid w:val="007F42E7"/>
    <w:rsid w:val="007F5D82"/>
    <w:rsid w:val="007F60E5"/>
    <w:rsid w:val="00801103"/>
    <w:rsid w:val="00801649"/>
    <w:rsid w:val="00804178"/>
    <w:rsid w:val="008056AE"/>
    <w:rsid w:val="00805A8B"/>
    <w:rsid w:val="00811C6E"/>
    <w:rsid w:val="008124C5"/>
    <w:rsid w:val="00812AC0"/>
    <w:rsid w:val="008144B1"/>
    <w:rsid w:val="008158D2"/>
    <w:rsid w:val="00817A32"/>
    <w:rsid w:val="00820D44"/>
    <w:rsid w:val="00820D70"/>
    <w:rsid w:val="008243B2"/>
    <w:rsid w:val="00824BD5"/>
    <w:rsid w:val="00824FDC"/>
    <w:rsid w:val="008257C1"/>
    <w:rsid w:val="00825E02"/>
    <w:rsid w:val="008320FB"/>
    <w:rsid w:val="00832E3C"/>
    <w:rsid w:val="00833B99"/>
    <w:rsid w:val="00840FD0"/>
    <w:rsid w:val="008423FE"/>
    <w:rsid w:val="0084535A"/>
    <w:rsid w:val="00845644"/>
    <w:rsid w:val="00847246"/>
    <w:rsid w:val="008501C4"/>
    <w:rsid w:val="0085133F"/>
    <w:rsid w:val="00852821"/>
    <w:rsid w:val="008532A0"/>
    <w:rsid w:val="0085341B"/>
    <w:rsid w:val="0086457C"/>
    <w:rsid w:val="00865CFA"/>
    <w:rsid w:val="008676B0"/>
    <w:rsid w:val="00875399"/>
    <w:rsid w:val="0087645F"/>
    <w:rsid w:val="0087654D"/>
    <w:rsid w:val="00876F0B"/>
    <w:rsid w:val="0088149E"/>
    <w:rsid w:val="008821A0"/>
    <w:rsid w:val="008835C3"/>
    <w:rsid w:val="00883748"/>
    <w:rsid w:val="00884ADC"/>
    <w:rsid w:val="00884E5C"/>
    <w:rsid w:val="00887595"/>
    <w:rsid w:val="0089037D"/>
    <w:rsid w:val="00890D59"/>
    <w:rsid w:val="008953EB"/>
    <w:rsid w:val="0089587F"/>
    <w:rsid w:val="0089607A"/>
    <w:rsid w:val="0089609F"/>
    <w:rsid w:val="008A2D52"/>
    <w:rsid w:val="008A46EC"/>
    <w:rsid w:val="008A5D96"/>
    <w:rsid w:val="008A74BB"/>
    <w:rsid w:val="008A7C71"/>
    <w:rsid w:val="008B3C17"/>
    <w:rsid w:val="008B3EB6"/>
    <w:rsid w:val="008B42D0"/>
    <w:rsid w:val="008B565F"/>
    <w:rsid w:val="008B5C0F"/>
    <w:rsid w:val="008B707D"/>
    <w:rsid w:val="008B768D"/>
    <w:rsid w:val="008B7A96"/>
    <w:rsid w:val="008C1370"/>
    <w:rsid w:val="008C275A"/>
    <w:rsid w:val="008C36C3"/>
    <w:rsid w:val="008C3F5D"/>
    <w:rsid w:val="008C525B"/>
    <w:rsid w:val="008C5A71"/>
    <w:rsid w:val="008C6D55"/>
    <w:rsid w:val="008D16EA"/>
    <w:rsid w:val="008D171A"/>
    <w:rsid w:val="008D29AC"/>
    <w:rsid w:val="008D2D22"/>
    <w:rsid w:val="008D337C"/>
    <w:rsid w:val="008D33F8"/>
    <w:rsid w:val="008D42CB"/>
    <w:rsid w:val="008D6A7A"/>
    <w:rsid w:val="008D797D"/>
    <w:rsid w:val="008D7CFD"/>
    <w:rsid w:val="008E1750"/>
    <w:rsid w:val="008E199C"/>
    <w:rsid w:val="008E2636"/>
    <w:rsid w:val="008E635E"/>
    <w:rsid w:val="008E65D9"/>
    <w:rsid w:val="008E75BC"/>
    <w:rsid w:val="008E7FA2"/>
    <w:rsid w:val="008F0923"/>
    <w:rsid w:val="008F1422"/>
    <w:rsid w:val="008F2AA7"/>
    <w:rsid w:val="008F3137"/>
    <w:rsid w:val="008F5753"/>
    <w:rsid w:val="008F5B63"/>
    <w:rsid w:val="0090097A"/>
    <w:rsid w:val="00901D95"/>
    <w:rsid w:val="009024EA"/>
    <w:rsid w:val="00904A0C"/>
    <w:rsid w:val="009064B1"/>
    <w:rsid w:val="00912CC0"/>
    <w:rsid w:val="00915377"/>
    <w:rsid w:val="0091664C"/>
    <w:rsid w:val="00917174"/>
    <w:rsid w:val="0091748D"/>
    <w:rsid w:val="00917920"/>
    <w:rsid w:val="00922540"/>
    <w:rsid w:val="00924FD7"/>
    <w:rsid w:val="00927866"/>
    <w:rsid w:val="00930229"/>
    <w:rsid w:val="00931350"/>
    <w:rsid w:val="00933FB6"/>
    <w:rsid w:val="0094059F"/>
    <w:rsid w:val="0094153E"/>
    <w:rsid w:val="00945643"/>
    <w:rsid w:val="009469C7"/>
    <w:rsid w:val="00950C0E"/>
    <w:rsid w:val="00951925"/>
    <w:rsid w:val="00952463"/>
    <w:rsid w:val="00952A40"/>
    <w:rsid w:val="00954561"/>
    <w:rsid w:val="00954A10"/>
    <w:rsid w:val="0095542C"/>
    <w:rsid w:val="00955B9C"/>
    <w:rsid w:val="009567E5"/>
    <w:rsid w:val="009629F3"/>
    <w:rsid w:val="00962B5D"/>
    <w:rsid w:val="0096631A"/>
    <w:rsid w:val="00973DF9"/>
    <w:rsid w:val="00974ACC"/>
    <w:rsid w:val="00976611"/>
    <w:rsid w:val="00976BE7"/>
    <w:rsid w:val="009801FF"/>
    <w:rsid w:val="00981258"/>
    <w:rsid w:val="0098180E"/>
    <w:rsid w:val="00982173"/>
    <w:rsid w:val="00987E35"/>
    <w:rsid w:val="00990C78"/>
    <w:rsid w:val="00992681"/>
    <w:rsid w:val="00994AC9"/>
    <w:rsid w:val="00997116"/>
    <w:rsid w:val="009A0D94"/>
    <w:rsid w:val="009A205B"/>
    <w:rsid w:val="009A4E2D"/>
    <w:rsid w:val="009A51B9"/>
    <w:rsid w:val="009A5F9A"/>
    <w:rsid w:val="009A6807"/>
    <w:rsid w:val="009A7699"/>
    <w:rsid w:val="009B13B7"/>
    <w:rsid w:val="009B3392"/>
    <w:rsid w:val="009B3924"/>
    <w:rsid w:val="009B5FED"/>
    <w:rsid w:val="009B7F3C"/>
    <w:rsid w:val="009C136E"/>
    <w:rsid w:val="009C1485"/>
    <w:rsid w:val="009C1CA5"/>
    <w:rsid w:val="009C289F"/>
    <w:rsid w:val="009C299E"/>
    <w:rsid w:val="009C3892"/>
    <w:rsid w:val="009C3F83"/>
    <w:rsid w:val="009C53EB"/>
    <w:rsid w:val="009C5E9A"/>
    <w:rsid w:val="009C7CFD"/>
    <w:rsid w:val="009D0CE1"/>
    <w:rsid w:val="009D37DF"/>
    <w:rsid w:val="009D66ED"/>
    <w:rsid w:val="009E3346"/>
    <w:rsid w:val="009E5FE2"/>
    <w:rsid w:val="009F2A53"/>
    <w:rsid w:val="009F57D9"/>
    <w:rsid w:val="00A01058"/>
    <w:rsid w:val="00A013E4"/>
    <w:rsid w:val="00A01CE6"/>
    <w:rsid w:val="00A035DD"/>
    <w:rsid w:val="00A04E5E"/>
    <w:rsid w:val="00A07858"/>
    <w:rsid w:val="00A07CB3"/>
    <w:rsid w:val="00A12F7F"/>
    <w:rsid w:val="00A14580"/>
    <w:rsid w:val="00A16D1E"/>
    <w:rsid w:val="00A215AA"/>
    <w:rsid w:val="00A273C4"/>
    <w:rsid w:val="00A27A82"/>
    <w:rsid w:val="00A32757"/>
    <w:rsid w:val="00A35C3E"/>
    <w:rsid w:val="00A361E0"/>
    <w:rsid w:val="00A411E6"/>
    <w:rsid w:val="00A41E90"/>
    <w:rsid w:val="00A42ABF"/>
    <w:rsid w:val="00A42DA5"/>
    <w:rsid w:val="00A42FED"/>
    <w:rsid w:val="00A43C80"/>
    <w:rsid w:val="00A454F2"/>
    <w:rsid w:val="00A45C91"/>
    <w:rsid w:val="00A46B24"/>
    <w:rsid w:val="00A5294A"/>
    <w:rsid w:val="00A53644"/>
    <w:rsid w:val="00A53D63"/>
    <w:rsid w:val="00A53D86"/>
    <w:rsid w:val="00A54E9B"/>
    <w:rsid w:val="00A56A22"/>
    <w:rsid w:val="00A5778E"/>
    <w:rsid w:val="00A60D39"/>
    <w:rsid w:val="00A615A1"/>
    <w:rsid w:val="00A624BA"/>
    <w:rsid w:val="00A628A3"/>
    <w:rsid w:val="00A64BA5"/>
    <w:rsid w:val="00A6622B"/>
    <w:rsid w:val="00A66E17"/>
    <w:rsid w:val="00A704A0"/>
    <w:rsid w:val="00A72028"/>
    <w:rsid w:val="00A725C3"/>
    <w:rsid w:val="00A73B71"/>
    <w:rsid w:val="00A75AA7"/>
    <w:rsid w:val="00A7673F"/>
    <w:rsid w:val="00A800C5"/>
    <w:rsid w:val="00A80581"/>
    <w:rsid w:val="00A8091C"/>
    <w:rsid w:val="00A80D73"/>
    <w:rsid w:val="00A8124C"/>
    <w:rsid w:val="00A83259"/>
    <w:rsid w:val="00A83F9B"/>
    <w:rsid w:val="00A84DBE"/>
    <w:rsid w:val="00A85DA3"/>
    <w:rsid w:val="00A868DB"/>
    <w:rsid w:val="00A8762E"/>
    <w:rsid w:val="00A923A7"/>
    <w:rsid w:val="00A924C0"/>
    <w:rsid w:val="00A9342E"/>
    <w:rsid w:val="00A949F8"/>
    <w:rsid w:val="00A95812"/>
    <w:rsid w:val="00A973D9"/>
    <w:rsid w:val="00AA428F"/>
    <w:rsid w:val="00AA5BC0"/>
    <w:rsid w:val="00AA6800"/>
    <w:rsid w:val="00AA7D1E"/>
    <w:rsid w:val="00AB0657"/>
    <w:rsid w:val="00AB11CE"/>
    <w:rsid w:val="00AB3523"/>
    <w:rsid w:val="00AB3C06"/>
    <w:rsid w:val="00AB61D2"/>
    <w:rsid w:val="00AB6425"/>
    <w:rsid w:val="00AC0C6B"/>
    <w:rsid w:val="00AC406B"/>
    <w:rsid w:val="00AC5311"/>
    <w:rsid w:val="00AC64F5"/>
    <w:rsid w:val="00AD0EAE"/>
    <w:rsid w:val="00AD22CE"/>
    <w:rsid w:val="00AD39F9"/>
    <w:rsid w:val="00AD3D60"/>
    <w:rsid w:val="00AD6D09"/>
    <w:rsid w:val="00AD6F2B"/>
    <w:rsid w:val="00AD76E3"/>
    <w:rsid w:val="00AE15C8"/>
    <w:rsid w:val="00AE23CD"/>
    <w:rsid w:val="00AE6CA6"/>
    <w:rsid w:val="00AF132D"/>
    <w:rsid w:val="00AF2A7D"/>
    <w:rsid w:val="00AF3417"/>
    <w:rsid w:val="00AF3A06"/>
    <w:rsid w:val="00AF45DA"/>
    <w:rsid w:val="00AF4659"/>
    <w:rsid w:val="00AF47A8"/>
    <w:rsid w:val="00AF6C7D"/>
    <w:rsid w:val="00B00807"/>
    <w:rsid w:val="00B02F86"/>
    <w:rsid w:val="00B105C2"/>
    <w:rsid w:val="00B11EB2"/>
    <w:rsid w:val="00B12511"/>
    <w:rsid w:val="00B1349A"/>
    <w:rsid w:val="00B15953"/>
    <w:rsid w:val="00B17A26"/>
    <w:rsid w:val="00B17CD4"/>
    <w:rsid w:val="00B21947"/>
    <w:rsid w:val="00B24300"/>
    <w:rsid w:val="00B25A4E"/>
    <w:rsid w:val="00B35371"/>
    <w:rsid w:val="00B40790"/>
    <w:rsid w:val="00B440DE"/>
    <w:rsid w:val="00B445CF"/>
    <w:rsid w:val="00B465EF"/>
    <w:rsid w:val="00B47084"/>
    <w:rsid w:val="00B52E0E"/>
    <w:rsid w:val="00B52FA5"/>
    <w:rsid w:val="00B537CC"/>
    <w:rsid w:val="00B54009"/>
    <w:rsid w:val="00B54BA0"/>
    <w:rsid w:val="00B57EF7"/>
    <w:rsid w:val="00B621C7"/>
    <w:rsid w:val="00B64AE9"/>
    <w:rsid w:val="00B652FD"/>
    <w:rsid w:val="00B656A4"/>
    <w:rsid w:val="00B66D0D"/>
    <w:rsid w:val="00B726A4"/>
    <w:rsid w:val="00B72BCF"/>
    <w:rsid w:val="00B7383D"/>
    <w:rsid w:val="00B73A33"/>
    <w:rsid w:val="00B73C90"/>
    <w:rsid w:val="00B74EA7"/>
    <w:rsid w:val="00B819BE"/>
    <w:rsid w:val="00B85BB0"/>
    <w:rsid w:val="00B915C6"/>
    <w:rsid w:val="00B92513"/>
    <w:rsid w:val="00B95C21"/>
    <w:rsid w:val="00B96F4B"/>
    <w:rsid w:val="00BA0BD8"/>
    <w:rsid w:val="00BA0FCD"/>
    <w:rsid w:val="00BA150E"/>
    <w:rsid w:val="00BA1F0E"/>
    <w:rsid w:val="00BA1F62"/>
    <w:rsid w:val="00BA2685"/>
    <w:rsid w:val="00BA3875"/>
    <w:rsid w:val="00BA45E4"/>
    <w:rsid w:val="00BA5225"/>
    <w:rsid w:val="00BB0868"/>
    <w:rsid w:val="00BB21F4"/>
    <w:rsid w:val="00BB388D"/>
    <w:rsid w:val="00BB45D8"/>
    <w:rsid w:val="00BB4D6B"/>
    <w:rsid w:val="00BB7064"/>
    <w:rsid w:val="00BB7810"/>
    <w:rsid w:val="00BC021E"/>
    <w:rsid w:val="00BC0706"/>
    <w:rsid w:val="00BC3339"/>
    <w:rsid w:val="00BC4720"/>
    <w:rsid w:val="00BC72A4"/>
    <w:rsid w:val="00BD2B71"/>
    <w:rsid w:val="00BD452B"/>
    <w:rsid w:val="00BD7AE4"/>
    <w:rsid w:val="00BE0B9E"/>
    <w:rsid w:val="00BE1145"/>
    <w:rsid w:val="00BE1725"/>
    <w:rsid w:val="00BE3264"/>
    <w:rsid w:val="00BE383A"/>
    <w:rsid w:val="00BE39AA"/>
    <w:rsid w:val="00BE5DF1"/>
    <w:rsid w:val="00BF0213"/>
    <w:rsid w:val="00BF13F0"/>
    <w:rsid w:val="00BF2483"/>
    <w:rsid w:val="00BF34B5"/>
    <w:rsid w:val="00BF4534"/>
    <w:rsid w:val="00BF4935"/>
    <w:rsid w:val="00BF7F66"/>
    <w:rsid w:val="00C00EE4"/>
    <w:rsid w:val="00C00FC1"/>
    <w:rsid w:val="00C01E47"/>
    <w:rsid w:val="00C07B2D"/>
    <w:rsid w:val="00C113E1"/>
    <w:rsid w:val="00C132A0"/>
    <w:rsid w:val="00C13973"/>
    <w:rsid w:val="00C13F2E"/>
    <w:rsid w:val="00C15BBB"/>
    <w:rsid w:val="00C22EED"/>
    <w:rsid w:val="00C233DD"/>
    <w:rsid w:val="00C23EDA"/>
    <w:rsid w:val="00C241AA"/>
    <w:rsid w:val="00C255BB"/>
    <w:rsid w:val="00C2591A"/>
    <w:rsid w:val="00C2618B"/>
    <w:rsid w:val="00C30BB5"/>
    <w:rsid w:val="00C3526E"/>
    <w:rsid w:val="00C428C6"/>
    <w:rsid w:val="00C441C1"/>
    <w:rsid w:val="00C45753"/>
    <w:rsid w:val="00C458E7"/>
    <w:rsid w:val="00C45BD2"/>
    <w:rsid w:val="00C5083C"/>
    <w:rsid w:val="00C50C17"/>
    <w:rsid w:val="00C5255D"/>
    <w:rsid w:val="00C5305E"/>
    <w:rsid w:val="00C53D3D"/>
    <w:rsid w:val="00C55DA1"/>
    <w:rsid w:val="00C56855"/>
    <w:rsid w:val="00C6003E"/>
    <w:rsid w:val="00C6322E"/>
    <w:rsid w:val="00C64AD6"/>
    <w:rsid w:val="00C67E8B"/>
    <w:rsid w:val="00C70432"/>
    <w:rsid w:val="00C72853"/>
    <w:rsid w:val="00C74BDB"/>
    <w:rsid w:val="00C77DFE"/>
    <w:rsid w:val="00C82CA1"/>
    <w:rsid w:val="00C90466"/>
    <w:rsid w:val="00C922B8"/>
    <w:rsid w:val="00C93E4F"/>
    <w:rsid w:val="00C96B65"/>
    <w:rsid w:val="00CA3F66"/>
    <w:rsid w:val="00CA4DF4"/>
    <w:rsid w:val="00CB263D"/>
    <w:rsid w:val="00CB2D28"/>
    <w:rsid w:val="00CB301B"/>
    <w:rsid w:val="00CB3F81"/>
    <w:rsid w:val="00CB510E"/>
    <w:rsid w:val="00CC672E"/>
    <w:rsid w:val="00CC6CD2"/>
    <w:rsid w:val="00CD0202"/>
    <w:rsid w:val="00CD1351"/>
    <w:rsid w:val="00CD28B7"/>
    <w:rsid w:val="00CD32E5"/>
    <w:rsid w:val="00CD3C42"/>
    <w:rsid w:val="00CD4D72"/>
    <w:rsid w:val="00CE0198"/>
    <w:rsid w:val="00CE1611"/>
    <w:rsid w:val="00CE691B"/>
    <w:rsid w:val="00CE6C97"/>
    <w:rsid w:val="00CF0287"/>
    <w:rsid w:val="00CF1C39"/>
    <w:rsid w:val="00CF3286"/>
    <w:rsid w:val="00CF57E2"/>
    <w:rsid w:val="00CF7253"/>
    <w:rsid w:val="00D0030D"/>
    <w:rsid w:val="00D029CF"/>
    <w:rsid w:val="00D0342A"/>
    <w:rsid w:val="00D078B4"/>
    <w:rsid w:val="00D10A57"/>
    <w:rsid w:val="00D14685"/>
    <w:rsid w:val="00D15B48"/>
    <w:rsid w:val="00D160B6"/>
    <w:rsid w:val="00D16CC2"/>
    <w:rsid w:val="00D17769"/>
    <w:rsid w:val="00D22353"/>
    <w:rsid w:val="00D2705E"/>
    <w:rsid w:val="00D33B92"/>
    <w:rsid w:val="00D37224"/>
    <w:rsid w:val="00D37E6B"/>
    <w:rsid w:val="00D40341"/>
    <w:rsid w:val="00D4073F"/>
    <w:rsid w:val="00D40CE8"/>
    <w:rsid w:val="00D44453"/>
    <w:rsid w:val="00D44604"/>
    <w:rsid w:val="00D4705A"/>
    <w:rsid w:val="00D50D87"/>
    <w:rsid w:val="00D52C87"/>
    <w:rsid w:val="00D554FB"/>
    <w:rsid w:val="00D55C2D"/>
    <w:rsid w:val="00D56214"/>
    <w:rsid w:val="00D56BA7"/>
    <w:rsid w:val="00D60594"/>
    <w:rsid w:val="00D60986"/>
    <w:rsid w:val="00D60E75"/>
    <w:rsid w:val="00D60F74"/>
    <w:rsid w:val="00D6519C"/>
    <w:rsid w:val="00D661CC"/>
    <w:rsid w:val="00D66B16"/>
    <w:rsid w:val="00D67CCE"/>
    <w:rsid w:val="00D73B0B"/>
    <w:rsid w:val="00D74425"/>
    <w:rsid w:val="00D762FC"/>
    <w:rsid w:val="00D7758A"/>
    <w:rsid w:val="00D81ED7"/>
    <w:rsid w:val="00D82A04"/>
    <w:rsid w:val="00D82A49"/>
    <w:rsid w:val="00D836DD"/>
    <w:rsid w:val="00D83ED6"/>
    <w:rsid w:val="00D84C65"/>
    <w:rsid w:val="00D85F7B"/>
    <w:rsid w:val="00D9014E"/>
    <w:rsid w:val="00D9106D"/>
    <w:rsid w:val="00D93CC4"/>
    <w:rsid w:val="00D94615"/>
    <w:rsid w:val="00D95363"/>
    <w:rsid w:val="00D96568"/>
    <w:rsid w:val="00D969B2"/>
    <w:rsid w:val="00D97E5A"/>
    <w:rsid w:val="00DA06F9"/>
    <w:rsid w:val="00DA0909"/>
    <w:rsid w:val="00DA3A75"/>
    <w:rsid w:val="00DA3A7D"/>
    <w:rsid w:val="00DA4AAD"/>
    <w:rsid w:val="00DA5AFB"/>
    <w:rsid w:val="00DA692D"/>
    <w:rsid w:val="00DB0863"/>
    <w:rsid w:val="00DB171E"/>
    <w:rsid w:val="00DB1CBA"/>
    <w:rsid w:val="00DB4763"/>
    <w:rsid w:val="00DC0E0B"/>
    <w:rsid w:val="00DC5B1C"/>
    <w:rsid w:val="00DC5E9A"/>
    <w:rsid w:val="00DC6967"/>
    <w:rsid w:val="00DC6ADD"/>
    <w:rsid w:val="00DD1CBA"/>
    <w:rsid w:val="00DD23DC"/>
    <w:rsid w:val="00DD3662"/>
    <w:rsid w:val="00DD3880"/>
    <w:rsid w:val="00DD4AAD"/>
    <w:rsid w:val="00DD7C12"/>
    <w:rsid w:val="00DE03F0"/>
    <w:rsid w:val="00DE605B"/>
    <w:rsid w:val="00DF1FA4"/>
    <w:rsid w:val="00DF45ED"/>
    <w:rsid w:val="00DF5EFA"/>
    <w:rsid w:val="00DF6DF5"/>
    <w:rsid w:val="00DF6FE3"/>
    <w:rsid w:val="00E00E4C"/>
    <w:rsid w:val="00E0116B"/>
    <w:rsid w:val="00E015B7"/>
    <w:rsid w:val="00E04CF6"/>
    <w:rsid w:val="00E12D9C"/>
    <w:rsid w:val="00E1494C"/>
    <w:rsid w:val="00E14C66"/>
    <w:rsid w:val="00E1572D"/>
    <w:rsid w:val="00E17D5E"/>
    <w:rsid w:val="00E21258"/>
    <w:rsid w:val="00E315A4"/>
    <w:rsid w:val="00E315F9"/>
    <w:rsid w:val="00E31C44"/>
    <w:rsid w:val="00E34069"/>
    <w:rsid w:val="00E34AED"/>
    <w:rsid w:val="00E356CA"/>
    <w:rsid w:val="00E402C2"/>
    <w:rsid w:val="00E40BF9"/>
    <w:rsid w:val="00E41448"/>
    <w:rsid w:val="00E443D9"/>
    <w:rsid w:val="00E51DF5"/>
    <w:rsid w:val="00E54A0B"/>
    <w:rsid w:val="00E55F01"/>
    <w:rsid w:val="00E56119"/>
    <w:rsid w:val="00E568B7"/>
    <w:rsid w:val="00E6102C"/>
    <w:rsid w:val="00E6367E"/>
    <w:rsid w:val="00E640E6"/>
    <w:rsid w:val="00E6549A"/>
    <w:rsid w:val="00E70463"/>
    <w:rsid w:val="00E72A51"/>
    <w:rsid w:val="00E7630E"/>
    <w:rsid w:val="00E76BA1"/>
    <w:rsid w:val="00E822FB"/>
    <w:rsid w:val="00E82D05"/>
    <w:rsid w:val="00E83E86"/>
    <w:rsid w:val="00E84D14"/>
    <w:rsid w:val="00E85F3A"/>
    <w:rsid w:val="00E93BE6"/>
    <w:rsid w:val="00E93FFE"/>
    <w:rsid w:val="00E97AA7"/>
    <w:rsid w:val="00EA12A7"/>
    <w:rsid w:val="00EA17A0"/>
    <w:rsid w:val="00EA33C7"/>
    <w:rsid w:val="00EA3CA0"/>
    <w:rsid w:val="00EB63FF"/>
    <w:rsid w:val="00EC0E23"/>
    <w:rsid w:val="00EC2FC7"/>
    <w:rsid w:val="00EC31A4"/>
    <w:rsid w:val="00EC35B0"/>
    <w:rsid w:val="00EC519F"/>
    <w:rsid w:val="00EC51F2"/>
    <w:rsid w:val="00EC5FB0"/>
    <w:rsid w:val="00ED1D87"/>
    <w:rsid w:val="00ED2F7C"/>
    <w:rsid w:val="00ED3119"/>
    <w:rsid w:val="00ED32A9"/>
    <w:rsid w:val="00EE116E"/>
    <w:rsid w:val="00EE4210"/>
    <w:rsid w:val="00EF2333"/>
    <w:rsid w:val="00EF2B39"/>
    <w:rsid w:val="00EF4DB4"/>
    <w:rsid w:val="00EF5093"/>
    <w:rsid w:val="00EF59DC"/>
    <w:rsid w:val="00F01268"/>
    <w:rsid w:val="00F01B08"/>
    <w:rsid w:val="00F01F3C"/>
    <w:rsid w:val="00F02DE9"/>
    <w:rsid w:val="00F036E7"/>
    <w:rsid w:val="00F053FB"/>
    <w:rsid w:val="00F0774F"/>
    <w:rsid w:val="00F079DD"/>
    <w:rsid w:val="00F1126D"/>
    <w:rsid w:val="00F11AFD"/>
    <w:rsid w:val="00F12AC1"/>
    <w:rsid w:val="00F132FD"/>
    <w:rsid w:val="00F1529D"/>
    <w:rsid w:val="00F16956"/>
    <w:rsid w:val="00F16D6B"/>
    <w:rsid w:val="00F2051C"/>
    <w:rsid w:val="00F21403"/>
    <w:rsid w:val="00F22801"/>
    <w:rsid w:val="00F2673B"/>
    <w:rsid w:val="00F31453"/>
    <w:rsid w:val="00F3455F"/>
    <w:rsid w:val="00F3461B"/>
    <w:rsid w:val="00F42126"/>
    <w:rsid w:val="00F42889"/>
    <w:rsid w:val="00F4318E"/>
    <w:rsid w:val="00F45C4D"/>
    <w:rsid w:val="00F460C6"/>
    <w:rsid w:val="00F46A65"/>
    <w:rsid w:val="00F51AA6"/>
    <w:rsid w:val="00F56348"/>
    <w:rsid w:val="00F637C0"/>
    <w:rsid w:val="00F75DC3"/>
    <w:rsid w:val="00F767AC"/>
    <w:rsid w:val="00F76941"/>
    <w:rsid w:val="00F77501"/>
    <w:rsid w:val="00F8021C"/>
    <w:rsid w:val="00F8040E"/>
    <w:rsid w:val="00F806DD"/>
    <w:rsid w:val="00F80EFB"/>
    <w:rsid w:val="00F81BFA"/>
    <w:rsid w:val="00F8305F"/>
    <w:rsid w:val="00F85F88"/>
    <w:rsid w:val="00F879DD"/>
    <w:rsid w:val="00F87F59"/>
    <w:rsid w:val="00F97460"/>
    <w:rsid w:val="00FA0B35"/>
    <w:rsid w:val="00FA3B6E"/>
    <w:rsid w:val="00FB0DFE"/>
    <w:rsid w:val="00FB4B20"/>
    <w:rsid w:val="00FB647F"/>
    <w:rsid w:val="00FC1D3B"/>
    <w:rsid w:val="00FC2810"/>
    <w:rsid w:val="00FC4951"/>
    <w:rsid w:val="00FC77BF"/>
    <w:rsid w:val="00FC7BB2"/>
    <w:rsid w:val="00FD1398"/>
    <w:rsid w:val="00FD438D"/>
    <w:rsid w:val="00FD6ABC"/>
    <w:rsid w:val="00FE1293"/>
    <w:rsid w:val="00FE142E"/>
    <w:rsid w:val="00FE1D88"/>
    <w:rsid w:val="00FE47D1"/>
    <w:rsid w:val="00FE6F44"/>
    <w:rsid w:val="00FE728B"/>
    <w:rsid w:val="00FF2856"/>
    <w:rsid w:val="00FF3276"/>
    <w:rsid w:val="00FF3C6C"/>
    <w:rsid w:val="00FF4B60"/>
    <w:rsid w:val="00FF5C62"/>
    <w:rsid w:val="00FF6DFC"/>
    <w:rsid w:val="00FF6E24"/>
    <w:rsid w:val="0417677C"/>
    <w:rsid w:val="0CA1FC78"/>
    <w:rsid w:val="13D7EE30"/>
    <w:rsid w:val="239849F8"/>
    <w:rsid w:val="23AC8576"/>
    <w:rsid w:val="2C81BD82"/>
    <w:rsid w:val="2F4C18FC"/>
    <w:rsid w:val="31A639A4"/>
    <w:rsid w:val="3741BC5A"/>
    <w:rsid w:val="3809BF60"/>
    <w:rsid w:val="3864089A"/>
    <w:rsid w:val="48363CAA"/>
    <w:rsid w:val="4E91AAC9"/>
    <w:rsid w:val="51562674"/>
    <w:rsid w:val="542CA246"/>
    <w:rsid w:val="5600ACB0"/>
    <w:rsid w:val="57AE2DF5"/>
    <w:rsid w:val="58D3E3EC"/>
    <w:rsid w:val="5BE4591A"/>
    <w:rsid w:val="619AFA35"/>
    <w:rsid w:val="6385149E"/>
    <w:rsid w:val="68AA638C"/>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9AEE6126-37E8-4030-B533-69853482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F59"/>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customStyle="1"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customStyle="1"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3"/>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4"/>
      </w:numPr>
    </w:pPr>
  </w:style>
  <w:style w:type="character" w:styleId="PlaceholderText">
    <w:name w:val="Placeholder Text"/>
    <w:basedOn w:val="DefaultParagraphFont"/>
    <w:uiPriority w:val="99"/>
    <w:semiHidden/>
    <w:rsid w:val="00BF4935"/>
    <w:rPr>
      <w:color w:val="666666"/>
    </w:rPr>
  </w:style>
  <w:style w:type="paragraph" w:customStyle="1" w:styleId="NO">
    <w:name w:val="NO"/>
    <w:basedOn w:val="Normal"/>
    <w:rsid w:val="001A6F38"/>
    <w:pPr>
      <w:keepLines/>
      <w:spacing w:after="180" w:line="240" w:lineRule="auto"/>
      <w:ind w:left="1135" w:hanging="851"/>
    </w:pPr>
    <w:rPr>
      <w:rFonts w:ascii="Times New Roman" w:hAnsi="Times New Roman" w:cs="Times New Roman"/>
      <w:sz w:val="20"/>
      <w:szCs w:val="20"/>
      <w:lang w:val="en-GB" w:eastAsia="en-US"/>
    </w:rPr>
  </w:style>
  <w:style w:type="paragraph" w:customStyle="1" w:styleId="B1">
    <w:name w:val="B1"/>
    <w:basedOn w:val="Normal"/>
    <w:link w:val="B1Char1"/>
    <w:qFormat/>
    <w:rsid w:val="001A6F38"/>
    <w:pPr>
      <w:spacing w:after="180" w:line="240" w:lineRule="auto"/>
      <w:ind w:left="568" w:hanging="284"/>
    </w:pPr>
    <w:rPr>
      <w:rFonts w:ascii="Times New Roman" w:hAnsi="Times New Roman" w:cs="Times New Roman"/>
      <w:sz w:val="20"/>
      <w:szCs w:val="20"/>
      <w:lang w:val="en-GB" w:eastAsia="en-US"/>
    </w:rPr>
  </w:style>
  <w:style w:type="paragraph" w:customStyle="1" w:styleId="B2">
    <w:name w:val="B2"/>
    <w:basedOn w:val="Normal"/>
    <w:link w:val="B2Char"/>
    <w:qFormat/>
    <w:rsid w:val="001A6F38"/>
    <w:pPr>
      <w:spacing w:after="180" w:line="240" w:lineRule="auto"/>
      <w:ind w:left="851" w:hanging="284"/>
    </w:pPr>
    <w:rPr>
      <w:rFonts w:ascii="Times New Roman" w:hAnsi="Times New Roman" w:cs="Times New Roman"/>
      <w:sz w:val="20"/>
      <w:szCs w:val="20"/>
      <w:lang w:val="en-GB" w:eastAsia="en-US"/>
    </w:rPr>
  </w:style>
  <w:style w:type="character" w:customStyle="1" w:styleId="B1Char1">
    <w:name w:val="B1 Char1"/>
    <w:link w:val="B1"/>
    <w:qFormat/>
    <w:rsid w:val="001A6F38"/>
    <w:rPr>
      <w:rFonts w:ascii="Times New Roman" w:hAnsi="Times New Roman" w:cs="Times New Roman"/>
      <w:sz w:val="20"/>
      <w:szCs w:val="20"/>
      <w:lang w:val="en-GB" w:eastAsia="en-US"/>
    </w:rPr>
  </w:style>
  <w:style w:type="character" w:customStyle="1" w:styleId="B2Char">
    <w:name w:val="B2 Char"/>
    <w:link w:val="B2"/>
    <w:qFormat/>
    <w:rsid w:val="001A6F38"/>
    <w:rPr>
      <w:rFonts w:ascii="Times New Roman" w:hAnsi="Times New Roman" w:cs="Times New Roman"/>
      <w:sz w:val="20"/>
      <w:szCs w:val="20"/>
      <w:lang w:val="en-GB" w:eastAsia="en-US"/>
    </w:rPr>
  </w:style>
  <w:style w:type="character" w:styleId="Strong">
    <w:name w:val="Strong"/>
    <w:basedOn w:val="DefaultParagraphFont"/>
    <w:uiPriority w:val="22"/>
    <w:qFormat/>
    <w:rsid w:val="00F31453"/>
    <w:rPr>
      <w:b/>
      <w:bCs/>
    </w:rPr>
  </w:style>
  <w:style w:type="character" w:styleId="Emphasis">
    <w:name w:val="Emphasis"/>
    <w:basedOn w:val="DefaultParagraphFont"/>
    <w:uiPriority w:val="20"/>
    <w:qFormat/>
    <w:rsid w:val="00204B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18654">
      <w:bodyDiv w:val="1"/>
      <w:marLeft w:val="0"/>
      <w:marRight w:val="0"/>
      <w:marTop w:val="0"/>
      <w:marBottom w:val="0"/>
      <w:divBdr>
        <w:top w:val="none" w:sz="0" w:space="0" w:color="auto"/>
        <w:left w:val="none" w:sz="0" w:space="0" w:color="auto"/>
        <w:bottom w:val="none" w:sz="0" w:space="0" w:color="auto"/>
        <w:right w:val="none" w:sz="0" w:space="0" w:color="auto"/>
      </w:divBdr>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58240592">
      <w:bodyDiv w:val="1"/>
      <w:marLeft w:val="0"/>
      <w:marRight w:val="0"/>
      <w:marTop w:val="0"/>
      <w:marBottom w:val="0"/>
      <w:divBdr>
        <w:top w:val="none" w:sz="0" w:space="0" w:color="auto"/>
        <w:left w:val="none" w:sz="0" w:space="0" w:color="auto"/>
        <w:bottom w:val="none" w:sz="0" w:space="0" w:color="auto"/>
        <w:right w:val="none" w:sz="0" w:space="0" w:color="auto"/>
      </w:divBdr>
    </w:div>
    <w:div w:id="367220787">
      <w:bodyDiv w:val="1"/>
      <w:marLeft w:val="0"/>
      <w:marRight w:val="0"/>
      <w:marTop w:val="0"/>
      <w:marBottom w:val="0"/>
      <w:divBdr>
        <w:top w:val="none" w:sz="0" w:space="0" w:color="auto"/>
        <w:left w:val="none" w:sz="0" w:space="0" w:color="auto"/>
        <w:bottom w:val="none" w:sz="0" w:space="0" w:color="auto"/>
        <w:right w:val="none" w:sz="0" w:space="0" w:color="auto"/>
      </w:divBdr>
    </w:div>
    <w:div w:id="378286486">
      <w:bodyDiv w:val="1"/>
      <w:marLeft w:val="0"/>
      <w:marRight w:val="0"/>
      <w:marTop w:val="0"/>
      <w:marBottom w:val="0"/>
      <w:divBdr>
        <w:top w:val="none" w:sz="0" w:space="0" w:color="auto"/>
        <w:left w:val="none" w:sz="0" w:space="0" w:color="auto"/>
        <w:bottom w:val="none" w:sz="0" w:space="0" w:color="auto"/>
        <w:right w:val="none" w:sz="0" w:space="0" w:color="auto"/>
      </w:divBdr>
    </w:div>
    <w:div w:id="472914252">
      <w:bodyDiv w:val="1"/>
      <w:marLeft w:val="0"/>
      <w:marRight w:val="0"/>
      <w:marTop w:val="0"/>
      <w:marBottom w:val="0"/>
      <w:divBdr>
        <w:top w:val="none" w:sz="0" w:space="0" w:color="auto"/>
        <w:left w:val="none" w:sz="0" w:space="0" w:color="auto"/>
        <w:bottom w:val="none" w:sz="0" w:space="0" w:color="auto"/>
        <w:right w:val="none" w:sz="0" w:space="0" w:color="auto"/>
      </w:divBdr>
    </w:div>
    <w:div w:id="487138011">
      <w:bodyDiv w:val="1"/>
      <w:marLeft w:val="0"/>
      <w:marRight w:val="0"/>
      <w:marTop w:val="0"/>
      <w:marBottom w:val="0"/>
      <w:divBdr>
        <w:top w:val="none" w:sz="0" w:space="0" w:color="auto"/>
        <w:left w:val="none" w:sz="0" w:space="0" w:color="auto"/>
        <w:bottom w:val="none" w:sz="0" w:space="0" w:color="auto"/>
        <w:right w:val="none" w:sz="0" w:space="0" w:color="auto"/>
      </w:divBdr>
    </w:div>
    <w:div w:id="720056884">
      <w:bodyDiv w:val="1"/>
      <w:marLeft w:val="0"/>
      <w:marRight w:val="0"/>
      <w:marTop w:val="0"/>
      <w:marBottom w:val="0"/>
      <w:divBdr>
        <w:top w:val="none" w:sz="0" w:space="0" w:color="auto"/>
        <w:left w:val="none" w:sz="0" w:space="0" w:color="auto"/>
        <w:bottom w:val="none" w:sz="0" w:space="0" w:color="auto"/>
        <w:right w:val="none" w:sz="0" w:space="0" w:color="auto"/>
      </w:divBdr>
      <w:divsChild>
        <w:div w:id="1849755365">
          <w:blockQuote w:val="1"/>
          <w:marLeft w:val="720"/>
          <w:marRight w:val="720"/>
          <w:marTop w:val="100"/>
          <w:marBottom w:val="100"/>
          <w:divBdr>
            <w:top w:val="none" w:sz="0" w:space="0" w:color="auto"/>
            <w:left w:val="none" w:sz="0" w:space="0" w:color="auto"/>
            <w:bottom w:val="none" w:sz="0" w:space="0" w:color="auto"/>
            <w:right w:val="none" w:sz="0" w:space="0" w:color="auto"/>
          </w:divBdr>
        </w:div>
        <w:div w:id="82071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4782253">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931428495">
      <w:bodyDiv w:val="1"/>
      <w:marLeft w:val="0"/>
      <w:marRight w:val="0"/>
      <w:marTop w:val="0"/>
      <w:marBottom w:val="0"/>
      <w:divBdr>
        <w:top w:val="none" w:sz="0" w:space="0" w:color="auto"/>
        <w:left w:val="none" w:sz="0" w:space="0" w:color="auto"/>
        <w:bottom w:val="none" w:sz="0" w:space="0" w:color="auto"/>
        <w:right w:val="none" w:sz="0" w:space="0" w:color="auto"/>
      </w:divBdr>
    </w:div>
    <w:div w:id="966273362">
      <w:bodyDiv w:val="1"/>
      <w:marLeft w:val="0"/>
      <w:marRight w:val="0"/>
      <w:marTop w:val="0"/>
      <w:marBottom w:val="0"/>
      <w:divBdr>
        <w:top w:val="none" w:sz="0" w:space="0" w:color="auto"/>
        <w:left w:val="none" w:sz="0" w:space="0" w:color="auto"/>
        <w:bottom w:val="none" w:sz="0" w:space="0" w:color="auto"/>
        <w:right w:val="none" w:sz="0" w:space="0" w:color="auto"/>
      </w:divBdr>
    </w:div>
    <w:div w:id="1010572013">
      <w:bodyDiv w:val="1"/>
      <w:marLeft w:val="0"/>
      <w:marRight w:val="0"/>
      <w:marTop w:val="0"/>
      <w:marBottom w:val="0"/>
      <w:divBdr>
        <w:top w:val="none" w:sz="0" w:space="0" w:color="auto"/>
        <w:left w:val="none" w:sz="0" w:space="0" w:color="auto"/>
        <w:bottom w:val="none" w:sz="0" w:space="0" w:color="auto"/>
        <w:right w:val="none" w:sz="0" w:space="0" w:color="auto"/>
      </w:divBdr>
    </w:div>
    <w:div w:id="1158115740">
      <w:bodyDiv w:val="1"/>
      <w:marLeft w:val="0"/>
      <w:marRight w:val="0"/>
      <w:marTop w:val="0"/>
      <w:marBottom w:val="0"/>
      <w:divBdr>
        <w:top w:val="none" w:sz="0" w:space="0" w:color="auto"/>
        <w:left w:val="none" w:sz="0" w:space="0" w:color="auto"/>
        <w:bottom w:val="none" w:sz="0" w:space="0" w:color="auto"/>
        <w:right w:val="none" w:sz="0" w:space="0" w:color="auto"/>
      </w:divBdr>
    </w:div>
    <w:div w:id="1256940658">
      <w:bodyDiv w:val="1"/>
      <w:marLeft w:val="0"/>
      <w:marRight w:val="0"/>
      <w:marTop w:val="0"/>
      <w:marBottom w:val="0"/>
      <w:divBdr>
        <w:top w:val="none" w:sz="0" w:space="0" w:color="auto"/>
        <w:left w:val="none" w:sz="0" w:space="0" w:color="auto"/>
        <w:bottom w:val="none" w:sz="0" w:space="0" w:color="auto"/>
        <w:right w:val="none" w:sz="0" w:space="0" w:color="auto"/>
      </w:divBdr>
    </w:div>
    <w:div w:id="1526014069">
      <w:bodyDiv w:val="1"/>
      <w:marLeft w:val="0"/>
      <w:marRight w:val="0"/>
      <w:marTop w:val="0"/>
      <w:marBottom w:val="0"/>
      <w:divBdr>
        <w:top w:val="none" w:sz="0" w:space="0" w:color="auto"/>
        <w:left w:val="none" w:sz="0" w:space="0" w:color="auto"/>
        <w:bottom w:val="none" w:sz="0" w:space="0" w:color="auto"/>
        <w:right w:val="none" w:sz="0" w:space="0" w:color="auto"/>
      </w:divBdr>
    </w:div>
    <w:div w:id="1668245381">
      <w:bodyDiv w:val="1"/>
      <w:marLeft w:val="0"/>
      <w:marRight w:val="0"/>
      <w:marTop w:val="0"/>
      <w:marBottom w:val="0"/>
      <w:divBdr>
        <w:top w:val="none" w:sz="0" w:space="0" w:color="auto"/>
        <w:left w:val="none" w:sz="0" w:space="0" w:color="auto"/>
        <w:bottom w:val="none" w:sz="0" w:space="0" w:color="auto"/>
        <w:right w:val="none" w:sz="0" w:space="0" w:color="auto"/>
      </w:divBdr>
    </w:div>
    <w:div w:id="1758399067">
      <w:bodyDiv w:val="1"/>
      <w:marLeft w:val="0"/>
      <w:marRight w:val="0"/>
      <w:marTop w:val="0"/>
      <w:marBottom w:val="0"/>
      <w:divBdr>
        <w:top w:val="none" w:sz="0" w:space="0" w:color="auto"/>
        <w:left w:val="none" w:sz="0" w:space="0" w:color="auto"/>
        <w:bottom w:val="none" w:sz="0" w:space="0" w:color="auto"/>
        <w:right w:val="none" w:sz="0" w:space="0" w:color="auto"/>
      </w:divBdr>
    </w:div>
    <w:div w:id="1787767762">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 w:id="213859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2.xml><?xml version="1.0" encoding="utf-8"?>
<ds:datastoreItem xmlns:ds="http://schemas.openxmlformats.org/officeDocument/2006/customXml" ds:itemID="{241318D7-CB66-4DDE-B952-2DB9970946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1D605B-B78A-45F2-AE49-5BF96A1B4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535EB-585A-469C-953C-5900053070C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244</TotalTime>
  <Pages>4</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Alasti, Mehdi</cp:lastModifiedBy>
  <cp:revision>26</cp:revision>
  <dcterms:created xsi:type="dcterms:W3CDTF">2025-07-28T13:46:00Z</dcterms:created>
  <dcterms:modified xsi:type="dcterms:W3CDTF">2025-08-15T14:10:00Z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